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 w:after="100"/>
      </w:pPr>
      <w:r>
        <w:rPr>
          <w:rFonts w:ascii="Times New Roman" w:hAnsi="Times New Roman" w:eastAsia="Songti SC" w:cs="Times New Roman"/>
          <w:b/>
          <w:i w:val="0"/>
          <w:color w:val="7A5A00"/>
          <w:sz w:val="20"/>
        </w:rPr>
        <w:t>AIDEEGROUP LIMITED</w:t>
      </w:r>
    </w:p>
    <w:p>
      <w:pPr>
        <w:spacing w:after="120"/>
      </w:pPr>
      <w:r>
        <w:rPr>
          <w:rFonts w:ascii="Times New Roman" w:hAnsi="Times New Roman" w:eastAsia="Songti SC" w:cs="Times New Roman"/>
          <w:b/>
          <w:i w:val="0"/>
          <w:color w:val="0B2545"/>
          <w:sz w:val="50"/>
        </w:rPr>
        <w:t>集团薪资、股权与期权激励方案</w:t>
      </w:r>
    </w:p>
    <w:p>
      <w:pPr>
        <w:spacing w:after="320"/>
      </w:pPr>
      <w:r>
        <w:rPr>
          <w:rFonts w:ascii="Arial" w:hAnsi="Arial" w:cs="Arial" w:eastAsia="Heiti SC"/>
          <w:b/>
          <w:color w:val="2E74B5"/>
          <w:sz w:val="28"/>
        </w:rPr>
        <w:t>V5.1 · 会后深化呈批稿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000"/>
        <w:gridCol w:w="7360"/>
      </w:tblGrid>
      <w:tr>
        <w:trPr>
          <w:tblHeader w:val="true"/>
          <w:cantSplit w:val="true"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9"/>
              </w:rPr>
              <w:t>文件信息</w:t>
            </w:r>
          </w:p>
        </w:tc>
        <w:tc>
          <w:tcPr>
            <w:tcW w:type="dxa" w:w="73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9"/>
              </w:rPr>
              <w:t>内容</w:t>
            </w:r>
          </w:p>
        </w:tc>
      </w:tr>
      <w:tr>
        <w:trPr>
          <w:cantSplit w:val="true"/>
        </w:trPr>
        <w:tc>
          <w:tcPr>
            <w:tcW w:type="dxa" w:w="2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9"/>
              </w:rPr>
              <w:t>文件编号</w:t>
            </w:r>
          </w:p>
        </w:tc>
        <w:tc>
          <w:tcPr>
            <w:tcW w:type="dxa" w:w="7360"/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ADG-PAY-ESOP-20260909-V5.1</w:t>
            </w:r>
          </w:p>
        </w:tc>
      </w:tr>
      <w:tr>
        <w:trPr>
          <w:cantSplit w:val="true"/>
        </w:trPr>
        <w:tc>
          <w:tcPr>
            <w:tcW w:type="dxa" w:w="2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9"/>
              </w:rPr>
              <w:t>编制依据</w:t>
            </w:r>
          </w:p>
        </w:tc>
        <w:tc>
          <w:tcPr>
            <w:tcW w:type="dxa" w:w="736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2026-09-08集团薪资股权期权激励方案讨论会及转写纪要、Kael个人谈话文件、原《集团员工股权与期权激励方案 V4.0》</w:t>
            </w:r>
          </w:p>
        </w:tc>
      </w:tr>
      <w:tr>
        <w:trPr>
          <w:cantSplit w:val="true"/>
        </w:trPr>
        <w:tc>
          <w:tcPr>
            <w:tcW w:type="dxa" w:w="2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9"/>
              </w:rPr>
              <w:t>股本口径</w:t>
            </w:r>
          </w:p>
        </w:tc>
        <w:tc>
          <w:tcPr>
            <w:tcW w:type="dxa" w:w="73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9"/>
              </w:rPr>
              <w:t>500,000,000股；每股面值0.0001美元；方案测算总面值50,000美元</w:t>
            </w:r>
          </w:p>
        </w:tc>
      </w:tr>
      <w:tr>
        <w:trPr>
          <w:cantSplit w:val="true"/>
        </w:trPr>
        <w:tc>
          <w:tcPr>
            <w:tcW w:type="dxa" w:w="2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9"/>
              </w:rPr>
              <w:t>适用范围</w:t>
            </w:r>
          </w:p>
        </w:tc>
        <w:tc>
          <w:tcPr>
            <w:tcW w:type="dxa" w:w="73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9"/>
              </w:rPr>
              <w:t>创始人及联席CEO、现任合伙人、新合伙人、经营管理部/候补合伙人、老员工、新员工及各业务职能条线</w:t>
            </w:r>
          </w:p>
        </w:tc>
      </w:tr>
      <w:tr>
        <w:trPr>
          <w:cantSplit w:val="true"/>
        </w:trPr>
        <w:tc>
          <w:tcPr>
            <w:tcW w:type="dxa" w:w="2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9"/>
              </w:rPr>
              <w:t>文件状态</w:t>
            </w:r>
          </w:p>
        </w:tc>
        <w:tc>
          <w:tcPr>
            <w:tcW w:type="dxa" w:w="7360"/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会后深化呈批稿；四名核心合伙人目标额度及全部实施事项仍须经有权机构批准，并完成法律、税务、估值与会计审核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7DBE2"/>
          <w:left w:val="single" w:sz="4" w:space="0" w:color="D7DBE2"/>
          <w:bottom w:val="single" w:sz="4" w:space="0" w:color="D7DBE2"/>
          <w:right w:val="single" w:sz="4" w:space="0" w:color="D7DBE2"/>
          <w:insideH w:val="single" w:sz="4" w:space="0" w:color="D7DBE2"/>
          <w:insideV w:val="single" w:sz="4" w:space="0" w:color="D7DBE2"/>
        </w:tblBorders>
      </w:tblPr>
      <w:tblGrid>
        <w:gridCol w:w="9360"/>
      </w:tblGrid>
      <w:tr>
        <w:trPr>
          <w:tblHeader w:val="true"/>
          <w:cantSplit w:val="true"/>
        </w:trPr>
        <w:tc>
          <w:tcPr>
            <w:tcW w:type="dxa" w:w="9360"/>
            <w:tcMar>
              <w:top w:w="140" w:type="dxa"/>
              <w:start w:w="120" w:type="dxa"/>
              <w:bottom w:w="140" w:type="dxa"/>
              <w:end w:w="120" w:type="dxa"/>
            </w:tcMar>
            <w:shd w:fill="E8EE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本次深化核心　坚持“岗位现金薪酬＋季度绩效＋年度现金激励＋年度滚动期权”，取消合伙人现金/期权二选一；在现任核心合伙人6%子池内，以每人1.20%为统一岗位基础目标，再按职责与管理难度配置岗位增加份额；Kael继续作为首个完整个人案例。</w:t>
            </w:r>
          </w:p>
        </w:tc>
      </w:tr>
    </w:tbl>
    <w:p>
      <w:pPr>
        <w:spacing w:after="40"/>
      </w:pPr>
    </w:p>
    <w:p>
      <w:pPr>
        <w:spacing w:before="0" w:after="80" w:line="264" w:lineRule="auto"/>
      </w:pPr>
      <w:r>
        <w:rPr>
          <w:rFonts w:ascii="Times New Roman" w:hAnsi="Times New Roman" w:eastAsia="STFangsong" w:cs="Times New Roman"/>
          <w:b w:val="0"/>
          <w:i/>
          <w:color w:val="9B1C1C"/>
          <w:sz w:val="22"/>
        </w:rPr>
        <w:t>本方案不构成任何个人已取得股权、期权、收益或回购承诺。任何权益仅在股东/董事会或其他有权机构批准、持股载体就位、个人协议签署并满足授予条件后成立。</w:t>
      </w:r>
    </w:p>
    <w:p>
      <w:r>
        <w:rPr>
          <w:rFonts w:ascii="Times New Roman" w:hAnsi="Times New Roman" w:cs="Times New Roman" w:eastAsia="STFangsong"/>
        </w:rPr>
        <w:br w:type="page"/>
      </w:r>
    </w:p>
    <w:p>
      <w:pPr>
        <w:pStyle w:val="Heading1"/>
        <w:keepNext/>
      </w:pPr>
      <w:r>
        <w:rPr>
          <w:rFonts w:ascii="Arial" w:hAnsi="Arial" w:cs="Arial" w:eastAsia="Heiti SC"/>
        </w:rPr>
        <w:t>一、总则与修订目标</w:t>
      </w: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本方案用于建立与集团新治理架构匹配的统一激励体系，兼顾历史贡献、未来业绩、关键岗位责任、人才引进和长期资本价值。方案以岗位和结果为依据，不以资历、关系或口头承诺自动形成权益。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分层适用：创始人/联席CEO、核心合伙人、新合伙人、候补合伙人、老员工和新员工分别采用对应机制。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现金从稳：固定薪资保障正常履职；绩效薪资按季度结算；年度现金激励以集团利润和个人结果为前提。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长期绑定：长期激励按年度核定，每一批分别归属，形成滚动、重叠的三至四年约束。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历史与未来分开：老员工的历史贡献认购/奖励与未来年度绩效授予分开核定，避免重复计算。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价值沟通不等于承诺：10亿美元估值下的1000万、100万、50万、10万美元层级仅用于校准吸引力。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7DBE2"/>
          <w:left w:val="single" w:sz="4" w:space="0" w:color="D7DBE2"/>
          <w:bottom w:val="single" w:sz="4" w:space="0" w:color="D7DBE2"/>
          <w:right w:val="single" w:sz="4" w:space="0" w:color="D7DBE2"/>
          <w:insideH w:val="single" w:sz="4" w:space="0" w:color="D7DBE2"/>
          <w:insideV w:val="single" w:sz="4" w:space="0" w:color="D7DBE2"/>
        </w:tblBorders>
      </w:tblPr>
      <w:tblGrid>
        <w:gridCol w:w="9360"/>
      </w:tblGrid>
      <w:tr>
        <w:trPr>
          <w:tblHeader w:val="true"/>
          <w:cantSplit w:val="true"/>
        </w:trPr>
        <w:tc>
          <w:tcPr>
            <w:tcW w:type="dxa" w:w="9360"/>
            <w:tcMar>
              <w:top w:w="140" w:type="dxa"/>
              <w:start w:w="120" w:type="dxa"/>
              <w:bottom w:w="140" w:type="dxa"/>
              <w:end w:w="120" w:type="dxa"/>
            </w:tcMar>
            <w:shd w:fill="FFF4CE"/>
          </w:tcPr>
          <w:p>
            <w:pPr>
              <w:spacing w:after="0" w:line="264" w:lineRule="auto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7A5A00"/>
                <w:sz w:val="21"/>
              </w:rPr>
              <w:t xml:space="preserve">重要区分　</w:t>
            </w: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21"/>
              </w:rPr>
              <w:t>每股面值0.0001美元仅为开曼公司法定股本参数，不等于公司公允价值、员工认购价或期权行权价。以面值作为低行权价仅是本次会议提出的实施方向，必须经开曼律师、税务顾问、估值机构及审计顾问共同确认。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Arial" w:hAnsi="Arial" w:cs="Arial" w:eastAsia="Heiti SC"/>
        </w:rPr>
        <w:t>二、股本基准与长期激励总盘</w:t>
      </w:r>
    </w:p>
    <w:p>
      <w:pPr>
        <w:pStyle w:val="Heading2"/>
        <w:keepNext/>
      </w:pPr>
      <w:r>
        <w:rPr>
          <w:rFonts w:ascii="Arial" w:hAnsi="Arial" w:cs="Arial" w:eastAsia="Heiti SC"/>
        </w:rPr>
        <w:t>2.1 统一股本口径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900"/>
        <w:gridCol w:w="2200"/>
        <w:gridCol w:w="5260"/>
      </w:tblGrid>
      <w:tr>
        <w:trPr>
          <w:tblHeader w:val="true"/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项目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统一口径</w:t>
            </w:r>
          </w:p>
        </w:tc>
        <w:tc>
          <w:tcPr>
            <w:tcW w:type="dxa" w:w="52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管理要求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开曼公司股本</w:t>
            </w:r>
          </w:p>
        </w:tc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500,000,000股</w:t>
            </w:r>
          </w:p>
        </w:tc>
        <w:tc>
          <w:tcPr>
            <w:tcW w:type="dxa" w:w="5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作为本方案股数及比例换算基准；实施前核对授权、已发行及完全摊薄股本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每股面值</w:t>
            </w:r>
          </w:p>
        </w:tc>
        <w:tc>
          <w:tcPr>
            <w:tcW w:type="dxa" w:w="22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0.0001美元</w:t>
            </w:r>
          </w:p>
        </w:tc>
        <w:tc>
          <w:tcPr>
            <w:tcW w:type="dxa" w:w="5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只用于公司法及章程层面的名义股本记录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总面值</w:t>
            </w:r>
          </w:p>
        </w:tc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50,000美元</w:t>
            </w:r>
          </w:p>
        </w:tc>
        <w:tc>
          <w:tcPr>
            <w:tcW w:type="dxa" w:w="5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500,000,000 × 0.0001美元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长期激励储备上限</w:t>
            </w:r>
          </w:p>
        </w:tc>
        <w:tc>
          <w:tcPr>
            <w:tcW w:type="dxa" w:w="22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30%＝150,000,000股</w:t>
            </w:r>
          </w:p>
        </w:tc>
        <w:tc>
          <w:tcPr>
            <w:tcW w:type="dxa" w:w="5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拟由两个BVI持股平台承接；以最终股权架构和批准文件为准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首阶段核心分配框架</w:t>
            </w:r>
          </w:p>
        </w:tc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10%＝50,000,000股</w:t>
            </w:r>
          </w:p>
        </w:tc>
        <w:tc>
          <w:tcPr>
            <w:tcW w:type="dxa" w:w="5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属于储备上限内的额度框架，不等于已授予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Arial" w:hAnsi="Arial" w:cs="Arial" w:eastAsia="Heiti SC"/>
        </w:rPr>
        <w:t>2.2 首阶段6:3:1分层框架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900"/>
        <w:gridCol w:w="900"/>
        <w:gridCol w:w="1600"/>
        <w:gridCol w:w="4960"/>
      </w:tblGrid>
      <w:tr>
        <w:trPr>
          <w:tblHeader w:val="true"/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用途</w:t>
            </w:r>
          </w:p>
        </w:tc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比例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股数</w:t>
            </w:r>
          </w:p>
        </w:tc>
        <w:tc>
          <w:tcPr>
            <w:tcW w:type="dxa" w:w="49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适用对象与规则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现任核心合伙人</w:t>
            </w:r>
          </w:p>
        </w:tc>
        <w:tc>
          <w:tcPr>
            <w:tcW w:type="dxa" w:w="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6%</w:t>
            </w:r>
          </w:p>
        </w:tc>
        <w:tc>
          <w:tcPr>
            <w:tcW w:type="dxa" w:w="16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30,000,000</w:t>
            </w:r>
          </w:p>
        </w:tc>
        <w:tc>
          <w:tcPr>
            <w:tcW w:type="dxa" w:w="4960"/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用于Joy Cham、Kael Guan、Rio Shen、Julio Xiong两年滚动期权目标；四人目标合计6%（30,000,000股），个人额度须逐年核定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经营管理部/候补合伙人</w:t>
            </w:r>
          </w:p>
        </w:tc>
        <w:tc>
          <w:tcPr>
            <w:tcW w:type="dxa" w:w="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3%</w:t>
            </w:r>
          </w:p>
        </w:tc>
        <w:tc>
          <w:tcPr>
            <w:tcW w:type="dxa" w:w="16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15,000,000</w:t>
            </w:r>
          </w:p>
        </w:tc>
        <w:tc>
          <w:tcPr>
            <w:tcW w:type="dxa" w:w="49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用于候补合伙人培养、轮岗和递补；进入后不重复获得同一贡献期权益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融资前战略引进</w:t>
            </w:r>
          </w:p>
        </w:tc>
        <w:tc>
          <w:tcPr>
            <w:tcW w:type="dxa" w:w="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1%</w:t>
            </w:r>
          </w:p>
        </w:tc>
        <w:tc>
          <w:tcPr>
            <w:tcW w:type="dxa" w:w="16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5,000,000</w:t>
            </w:r>
          </w:p>
        </w:tc>
        <w:tc>
          <w:tcPr>
            <w:tcW w:type="dxa" w:w="49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用于融资前必须引进的关键高管、核心技术/安全/业务人才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其余长期人才储备</w:t>
            </w:r>
          </w:p>
        </w:tc>
        <w:tc>
          <w:tcPr>
            <w:tcW w:type="dxa" w:w="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20%</w:t>
            </w:r>
          </w:p>
        </w:tc>
        <w:tc>
          <w:tcPr>
            <w:tcW w:type="dxa" w:w="16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100,000,000</w:t>
            </w:r>
          </w:p>
        </w:tc>
        <w:tc>
          <w:tcPr>
            <w:tcW w:type="dxa" w:w="49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用于老员工历史贡献、员工认购配套、年度员工计划和后续关键人才；逐年呈批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合计上限</w:t>
            </w:r>
          </w:p>
        </w:tc>
        <w:tc>
          <w:tcPr>
            <w:tcW w:type="dxa" w:w="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30%</w:t>
            </w:r>
          </w:p>
        </w:tc>
        <w:tc>
          <w:tcPr>
            <w:tcW w:type="dxa" w:w="16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150,000,000</w:t>
            </w:r>
          </w:p>
        </w:tc>
        <w:tc>
          <w:tcPr>
            <w:tcW w:type="dxa" w:w="49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未经股东层批准不得突破；未分配额度不产生个人权利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同一名人员可能因岗位变化进入不同层级，但同一期间、同一贡献不得重复占用多个子池。已正式授予并归属的权益原则上不因人员进入更高层级而倒减；新增额度从对应预留池核定。</w:t>
      </w:r>
    </w:p>
    <w:p>
      <w:pPr>
        <w:pStyle w:val="Heading1"/>
        <w:keepNext/>
      </w:pPr>
      <w:r>
        <w:rPr>
          <w:rFonts w:ascii="Arial" w:hAnsi="Arial" w:cs="Arial" w:eastAsia="Heiti SC"/>
        </w:rPr>
        <w:t>三、新治理及部门架构下的激励映射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900"/>
        <w:gridCol w:w="4000"/>
        <w:gridCol w:w="3460"/>
      </w:tblGrid>
      <w:tr>
        <w:trPr>
          <w:tblHeader w:val="true"/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治理/组织层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责任</w:t>
            </w:r>
          </w:p>
        </w:tc>
        <w:tc>
          <w:tcPr>
            <w:tcW w:type="dxa" w:w="34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激励管理定位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股东层/董事会</w:t>
            </w:r>
          </w:p>
        </w:tc>
        <w:tc>
          <w:tcPr>
            <w:tcW w:type="dxa" w:w="4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批准总池、股份来源、增发/转让、重大修订及超额授予</w:t>
            </w:r>
          </w:p>
        </w:tc>
        <w:tc>
          <w:tcPr>
            <w:tcW w:type="dxa" w:w="34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决定权益是否具备法律效力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合伙人委员会</w:t>
            </w:r>
          </w:p>
        </w:tc>
        <w:tc>
          <w:tcPr>
            <w:tcW w:type="dxa" w:w="4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审议年度预算、岗位目标、核心人员授予及退出处理</w:t>
            </w:r>
          </w:p>
        </w:tc>
        <w:tc>
          <w:tcPr>
            <w:tcW w:type="dxa" w:w="34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集团最高经营审批与年度点检机构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联席CEO</w:t>
            </w:r>
          </w:p>
        </w:tc>
        <w:tc>
          <w:tcPr>
            <w:tcW w:type="dxa" w:w="4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提出经营目标、岗位定档和人员建议，对集团净利润负责</w:t>
            </w:r>
          </w:p>
        </w:tc>
        <w:tc>
          <w:tcPr>
            <w:tcW w:type="dxa" w:w="34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适用CEO岗位激励，不与股东分红混同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财务线（Kael）</w:t>
            </w:r>
          </w:p>
        </w:tc>
        <w:tc>
          <w:tcPr>
            <w:tcW w:type="dxa" w:w="4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统一预算、账本、资金、资本、估值、激励台账及顾问协调</w:t>
            </w:r>
          </w:p>
        </w:tc>
        <w:tc>
          <w:tcPr>
            <w:tcW w:type="dxa" w:w="34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股权激励管理办公室挂靠财务线，执行不替代审批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经营管理部</w:t>
            </w:r>
          </w:p>
        </w:tc>
        <w:tc>
          <w:tcPr>
            <w:tcW w:type="dxa" w:w="4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经营督办、分析、监督、干部培养和候补合伙人管理</w:t>
            </w:r>
          </w:p>
        </w:tc>
        <w:tc>
          <w:tcPr>
            <w:tcW w:type="dxa" w:w="34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作为3%候补池的主要培养及观察载体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产品技术、安全、风控、人力、品牌、商务、本地等条线</w:t>
            </w:r>
          </w:p>
        </w:tc>
        <w:tc>
          <w:tcPr>
            <w:tcW w:type="dxa" w:w="4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按各自岗位第一责任完成业务与组织目标</w:t>
            </w:r>
          </w:p>
        </w:tc>
        <w:tc>
          <w:tcPr>
            <w:tcW w:type="dxa" w:w="34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按岗位层级、结果、稀缺性及可替代性进入年度激励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部门设立本身不自动产生额度。任何个人授予均须同时满足：岗位正式确认、年度目标书面化、授予池可用、无利益冲突审议以及个人协议签署。</w:t>
      </w:r>
    </w:p>
    <w:p>
      <w:pPr>
        <w:pStyle w:val="Heading1"/>
        <w:keepNext/>
        <w:pageBreakBefore/>
      </w:pPr>
      <w:r>
        <w:rPr>
          <w:rFonts w:ascii="Arial" w:hAnsi="Arial" w:cs="Arial" w:eastAsia="Heiti SC"/>
        </w:rPr>
        <w:t>四、统一薪资与年度激励结构</w:t>
      </w:r>
    </w:p>
    <w:p>
      <w:pPr>
        <w:pStyle w:val="Heading2"/>
        <w:keepNext/>
      </w:pPr>
      <w:r>
        <w:rPr>
          <w:rFonts w:ascii="Arial" w:hAnsi="Arial" w:cs="Arial" w:eastAsia="Heiti SC"/>
        </w:rPr>
        <w:t>4.1 三层现金与一层长期激励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650"/>
        <w:gridCol w:w="1250"/>
        <w:gridCol w:w="2650"/>
        <w:gridCol w:w="3810"/>
      </w:tblGrid>
      <w:tr>
        <w:trPr>
          <w:tblHeader w:val="true"/>
          <w:cantSplit w:val="true"/>
        </w:trPr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组成</w:t>
            </w:r>
          </w:p>
        </w:tc>
        <w:tc>
          <w:tcPr>
            <w:tcW w:type="dxa" w:w="12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结算周期</w:t>
            </w:r>
          </w:p>
        </w:tc>
        <w:tc>
          <w:tcPr>
            <w:tcW w:type="dxa" w:w="26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功能</w:t>
            </w:r>
          </w:p>
        </w:tc>
        <w:tc>
          <w:tcPr>
            <w:tcW w:type="dxa" w:w="381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建议规则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月度固定薪资</w:t>
            </w:r>
          </w:p>
        </w:tc>
        <w:tc>
          <w:tcPr>
            <w:tcW w:type="dxa" w:w="12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按月</w:t>
            </w:r>
          </w:p>
        </w:tc>
        <w:tc>
          <w:tcPr>
            <w:tcW w:type="dxa" w:w="2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保障履职与基本现金收入</w:t>
            </w:r>
          </w:p>
        </w:tc>
        <w:tc>
          <w:tcPr>
            <w:tcW w:type="dxa" w:w="38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按岗位、履职形态、所在地及市场水平定档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季度绩效薪资</w:t>
            </w:r>
          </w:p>
        </w:tc>
        <w:tc>
          <w:tcPr>
            <w:tcW w:type="dxa" w:w="12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按季</w:t>
            </w:r>
          </w:p>
        </w:tc>
        <w:tc>
          <w:tcPr>
            <w:tcW w:type="dxa" w:w="26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纠偏、提醒和短周期结果确认</w:t>
            </w:r>
          </w:p>
        </w:tc>
        <w:tc>
          <w:tcPr>
            <w:tcW w:type="dxa" w:w="38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目标月薪的30%按月计提、季度核定后发放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年度现金激励</w:t>
            </w:r>
          </w:p>
        </w:tc>
        <w:tc>
          <w:tcPr>
            <w:tcW w:type="dxa" w:w="12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按年</w:t>
            </w:r>
          </w:p>
        </w:tc>
        <w:tc>
          <w:tcPr>
            <w:tcW w:type="dxa" w:w="2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奖励超额经营或关键项目成果</w:t>
            </w:r>
          </w:p>
        </w:tc>
        <w:tc>
          <w:tcPr>
            <w:tcW w:type="dxa" w:w="38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以集团利润门槛为前提，原则上不超过年度固定薪资的20%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年度长期激励</w:t>
            </w:r>
          </w:p>
        </w:tc>
        <w:tc>
          <w:tcPr>
            <w:tcW w:type="dxa" w:w="12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按年授予、跨年归属</w:t>
            </w:r>
          </w:p>
        </w:tc>
        <w:tc>
          <w:tcPr>
            <w:tcW w:type="dxa" w:w="26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绑定长期价值与持续服务</w:t>
            </w:r>
          </w:p>
        </w:tc>
        <w:tc>
          <w:tcPr>
            <w:tcW w:type="dxa" w:w="38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按年度KPI在目标额度的80%-120%内核定；每批独立归属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Arial" w:hAnsi="Arial" w:cs="Arial" w:eastAsia="Heiti SC"/>
        </w:rPr>
        <w:t>4.2 绩效结算建议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900"/>
        <w:gridCol w:w="2200"/>
        <w:gridCol w:w="1900"/>
        <w:gridCol w:w="3360"/>
      </w:tblGrid>
      <w:tr>
        <w:trPr>
          <w:tblHeader w:val="true"/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季度/年度得分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季度绩效发放系数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年度授予系数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处理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低于70分</w:t>
            </w:r>
          </w:p>
        </w:tc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0%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0%</w:t>
            </w:r>
          </w:p>
        </w:tc>
        <w:tc>
          <w:tcPr>
            <w:tcW w:type="dxa" w:w="33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未达门槛；重大红线另行追责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70-84分</w:t>
            </w:r>
          </w:p>
        </w:tc>
        <w:tc>
          <w:tcPr>
            <w:tcW w:type="dxa" w:w="22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70%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80%</w:t>
            </w:r>
          </w:p>
        </w:tc>
        <w:tc>
          <w:tcPr>
            <w:tcW w:type="dxa" w:w="33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基本达标但需形成改进计划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85-99分</w:t>
            </w:r>
          </w:p>
        </w:tc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90%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100%</w:t>
            </w:r>
          </w:p>
        </w:tc>
        <w:tc>
          <w:tcPr>
            <w:tcW w:type="dxa" w:w="33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达到岗位预期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100-109分</w:t>
            </w:r>
          </w:p>
        </w:tc>
        <w:tc>
          <w:tcPr>
            <w:tcW w:type="dxa" w:w="22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100%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110%</w:t>
            </w:r>
          </w:p>
        </w:tc>
        <w:tc>
          <w:tcPr>
            <w:tcW w:type="dxa" w:w="33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完成或超额完成核心目标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110分及以上</w:t>
            </w:r>
          </w:p>
        </w:tc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最高120%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最高120%</w:t>
            </w:r>
          </w:p>
        </w:tc>
        <w:tc>
          <w:tcPr>
            <w:tcW w:type="dxa" w:w="33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须经无利益冲突成员专项审议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每项指标须在周期开始前确定目标值、口径、数据来源、确认责任人和完成期限。中后台岗位尽量量化，不能量化的采用分项证据和多方评分；个人自评、直接负责人评分与委员会复核应留痕。 四名现任核心合伙人的目标额度已合计占满6%子池，个人授予系数超过100%时，只能使用同池未授予、失效或经批准重新分配的额度；不得因个人超额完成自动突破30,000,000股总上限。</w:t>
      </w:r>
    </w:p>
    <w:p>
      <w:r>
        <w:rPr>
          <w:rFonts w:ascii="Times New Roman" w:hAnsi="Times New Roman" w:cs="Times New Roman" w:eastAsia="STFangsong"/>
        </w:rPr>
        <w:br w:type="page"/>
      </w:r>
    </w:p>
    <w:p>
      <w:pPr>
        <w:pStyle w:val="Heading1"/>
        <w:keepNext/>
      </w:pPr>
      <w:r>
        <w:rPr>
          <w:rFonts w:ascii="Arial" w:hAnsi="Arial" w:cs="Arial" w:eastAsia="Heiti SC"/>
        </w:rPr>
        <w:t>五、创始人及联席CEO岗位方案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100"/>
        <w:gridCol w:w="4000"/>
        <w:gridCol w:w="3260"/>
      </w:tblGrid>
      <w:tr>
        <w:trPr>
          <w:tblHeader w:val="true"/>
          <w:cantSplit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项目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会议确认方向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执行边界</w:t>
            </w:r>
          </w:p>
        </w:tc>
      </w:tr>
      <w:tr>
        <w:trPr>
          <w:cantSplit w:val="true"/>
        </w:trPr>
        <w:tc>
          <w:tcPr>
            <w:tcW w:type="dxa" w:w="21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融资前固定薪资</w:t>
            </w:r>
          </w:p>
        </w:tc>
        <w:tc>
          <w:tcPr>
            <w:tcW w:type="dxa" w:w="4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每人每月10,000美元</w:t>
            </w:r>
          </w:p>
        </w:tc>
        <w:tc>
          <w:tcPr>
            <w:tcW w:type="dxa" w:w="3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以实际履职和集团现金预算为前提</w:t>
            </w:r>
          </w:p>
        </w:tc>
      </w:tr>
      <w:tr>
        <w:trPr>
          <w:cantSplit w:val="true"/>
        </w:trPr>
        <w:tc>
          <w:tcPr>
            <w:tcW w:type="dxa" w:w="21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融资后固定薪资</w:t>
            </w:r>
          </w:p>
        </w:tc>
        <w:tc>
          <w:tcPr>
            <w:tcW w:type="dxa" w:w="4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最高每人每月20,000美元</w:t>
            </w:r>
          </w:p>
        </w:tc>
        <w:tc>
          <w:tcPr>
            <w:tcW w:type="dxa" w:w="3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融资交割到账且现金保障期满足正式规则后次月生效</w:t>
            </w:r>
          </w:p>
        </w:tc>
      </w:tr>
      <w:tr>
        <w:trPr>
          <w:cantSplit w:val="true"/>
        </w:trPr>
        <w:tc>
          <w:tcPr>
            <w:tcW w:type="dxa" w:w="21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CEO绩效池</w:t>
            </w:r>
          </w:p>
        </w:tc>
        <w:tc>
          <w:tcPr>
            <w:tcW w:type="dxa" w:w="40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两位联席CEO合计最高为年度可分配净利润的10%，原则上每人不超过5%</w:t>
            </w:r>
          </w:p>
        </w:tc>
        <w:tc>
          <w:tcPr>
            <w:tcW w:type="dxa" w:w="3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与股东分红严格分开；按净利润目标和岗位结果核定</w:t>
            </w:r>
          </w:p>
        </w:tc>
      </w:tr>
      <w:tr>
        <w:trPr>
          <w:cantSplit w:val="true"/>
        </w:trPr>
        <w:tc>
          <w:tcPr>
            <w:tcW w:type="dxa" w:w="21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长期权益</w:t>
            </w:r>
          </w:p>
        </w:tc>
        <w:tc>
          <w:tcPr>
            <w:tcW w:type="dxa" w:w="40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不因CEO岗位自动新增创始人期权</w:t>
            </w:r>
          </w:p>
        </w:tc>
        <w:tc>
          <w:tcPr>
            <w:tcW w:type="dxa" w:w="3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既有创始人股份承担主要长期价值；岗位变化不改变股东权利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年度可分配净利润应以集团合并口径为基础，扣除税费、历史亏损弥补、风险准备、必要运营储备和不得分配项目。两位联席CEO及其关联方应在本人激励审议时回避。</w:t>
      </w:r>
    </w:p>
    <w:p>
      <w:pPr>
        <w:pStyle w:val="Heading2"/>
        <w:keepNext/>
      </w:pPr>
      <w:r>
        <w:rPr>
          <w:rFonts w:ascii="Arial" w:hAnsi="Arial" w:cs="Arial" w:eastAsia="Heiti SC"/>
        </w:rPr>
        <w:t>5.1 未来职业经理人CEO</w:t>
      </w: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未来由职业经理人担任CEO时，应采用“市场化固定薪资＋季度绩效＋年度现金奖励＋滚动期权”的独立方案。其利润分享比例不得自动沿用创始人CEO的10%池，须由股东层另行批准；其期权来自战略引进或留存池，不取得创始人既有股东权益。</w:t>
      </w:r>
    </w:p>
    <w:p>
      <w:pPr>
        <w:pStyle w:val="Heading1"/>
        <w:keepNext/>
      </w:pPr>
      <w:r>
        <w:rPr>
          <w:rFonts w:ascii="Arial" w:hAnsi="Arial" w:cs="Arial" w:eastAsia="Heiti SC"/>
        </w:rPr>
        <w:t>六、现任合伙人、新合伙人与候补合伙人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900"/>
        <w:gridCol w:w="2600"/>
        <w:gridCol w:w="2300"/>
        <w:gridCol w:w="2560"/>
      </w:tblGrid>
      <w:tr>
        <w:trPr>
          <w:tblHeader w:val="true"/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类别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进入方式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现金结构</w:t>
            </w:r>
          </w:p>
        </w:tc>
        <w:tc>
          <w:tcPr>
            <w:tcW w:type="dxa" w:w="25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长期激励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现任核心合伙人</w:t>
            </w:r>
          </w:p>
        </w:tc>
        <w:tc>
          <w:tcPr>
            <w:tcW w:type="dxa" w:w="26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已完成提名并按岗位履职</w:t>
            </w:r>
          </w:p>
        </w:tc>
        <w:tc>
          <w:tcPr>
            <w:tcW w:type="dxa" w:w="23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岗位月薪＋季度绩效＋年度现金（如适用）</w:t>
            </w:r>
          </w:p>
        </w:tc>
        <w:tc>
          <w:tcPr>
            <w:tcW w:type="dxa" w:w="25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从6%子池按年度授予；不再设置现金优先/期权优先二选一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新引进合伙人</w:t>
            </w:r>
          </w:p>
        </w:tc>
        <w:tc>
          <w:tcPr>
            <w:tcW w:type="dxa" w:w="26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提名、考察、进入、就位；原则上三个月考察</w:t>
            </w:r>
          </w:p>
        </w:tc>
        <w:tc>
          <w:tcPr>
            <w:tcW w:type="dxa" w:w="23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考察期档＋正式岗位档</w:t>
            </w:r>
          </w:p>
        </w:tc>
        <w:tc>
          <w:tcPr>
            <w:tcW w:type="dxa" w:w="25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从1%战略引进及留存中核定；不得稀释已授予部分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经营管理部/候补合伙人</w:t>
            </w:r>
          </w:p>
        </w:tc>
        <w:tc>
          <w:tcPr>
            <w:tcW w:type="dxa" w:w="26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轮岗、年度考核、席位递补</w:t>
            </w:r>
          </w:p>
        </w:tc>
        <w:tc>
          <w:tcPr>
            <w:tcW w:type="dxa" w:w="23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按现岗位工资及绩效执行</w:t>
            </w:r>
          </w:p>
        </w:tc>
        <w:tc>
          <w:tcPr>
            <w:tcW w:type="dxa" w:w="25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从3%子池按里程碑授予；进入内席后重新核定、不重复奖励</w:t>
            </w:r>
          </w:p>
        </w:tc>
      </w:tr>
    </w:tbl>
    <w:p>
      <w:pPr>
        <w:spacing w:after="40"/>
      </w:pP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合伙人级别原则上以长期价值为核心，不再保留“现金优先/期权优先”两档选择，避免价值导向不一致。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任期原则上两年，每十二个月复核一次；岗位、席位、权限、薪酬和长期激励应同步调整。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考察期可提前结束，但必须有明确、可验证的提前通过条件，并由有权机构形成书面结论。</w:t>
      </w:r>
    </w:p>
    <w:p>
      <w:pPr>
        <w:pStyle w:val="Heading2"/>
      </w:pPr>
      <w:r>
        <w:rPr>
          <w:rFonts w:ascii="Arial" w:hAnsi="Arial" w:cs="Arial" w:eastAsia="Heiti SC"/>
          <w:b w:val="0"/>
          <w:color w:val="222222"/>
          <w:sz w:val="22"/>
        </w:rPr>
        <w:t>6.1 现任四名核心合伙人两年目标额度建议</w:t>
      </w:r>
    </w:p>
    <w:p>
      <w:pPr/>
      <w:r>
        <w:rPr>
          <w:rFonts w:ascii="Times New Roman" w:hAnsi="Times New Roman" w:cs="Times New Roman" w:eastAsia="STFangsong"/>
          <w:b w:val="0"/>
          <w:color w:val="222222"/>
          <w:sz w:val="22"/>
        </w:rPr>
        <w:t>在现任核心合伙人6%子池内，建议先为四人分别设置1.20%的统一岗位基础目标，再根据职责覆盖范围、专业独立性、重大风险承担、跨区域管理难度及对集团经营结果的持续影响配置岗位增加份额。基础目标和岗位增加份额均属于两年滚动授予的目标口径，不构成一次性授予或无条件归属。</w:t>
      </w:r>
    </w:p>
    <w:tbl>
      <w:tblPr>
        <w:tblStyle w:val="TableGrid"/>
        <w:tblW w:type="dxa" w:w="9026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458"/>
        <w:gridCol w:w="1250"/>
        <w:gridCol w:w="1250"/>
        <w:gridCol w:w="1250"/>
        <w:gridCol w:w="1736"/>
        <w:gridCol w:w="2082"/>
      </w:tblGrid>
      <w:tr>
        <w:trPr>
          <w:tblHeader w:val="true"/>
        </w:trPr>
        <w:tc>
          <w:tcPr>
            <w:tcW w:type="dxa" w:w="1458"/>
            <w:vAlign w:val="center"/>
            <w:shd w:fill="F2F4F7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人员</w:t>
            </w:r>
          </w:p>
        </w:tc>
        <w:tc>
          <w:tcPr>
            <w:tcW w:type="dxa" w:w="1250"/>
            <w:vAlign w:val="center"/>
            <w:shd w:fill="F2F4F7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统一基础目标</w:t>
            </w:r>
          </w:p>
        </w:tc>
        <w:tc>
          <w:tcPr>
            <w:tcW w:type="dxa" w:w="1250"/>
            <w:vAlign w:val="center"/>
            <w:shd w:fill="F2F4F7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岗位增加份额</w:t>
            </w:r>
          </w:p>
        </w:tc>
        <w:tc>
          <w:tcPr>
            <w:tcW w:type="dxa" w:w="1250"/>
            <w:vAlign w:val="center"/>
            <w:shd w:fill="F2F4F7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两年目标比例</w:t>
            </w:r>
          </w:p>
        </w:tc>
        <w:tc>
          <w:tcPr>
            <w:tcW w:type="dxa" w:w="1736"/>
            <w:vAlign w:val="center"/>
            <w:shd w:fill="F2F4F7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目标期权股数</w:t>
            </w:r>
          </w:p>
        </w:tc>
        <w:tc>
          <w:tcPr>
            <w:tcW w:type="dxa" w:w="2082"/>
            <w:vAlign w:val="center"/>
            <w:shd w:fill="F2F4F7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年度目标参考</w:t>
            </w:r>
          </w:p>
        </w:tc>
      </w:tr>
      <w:tr>
        <w:trPr/>
        <w:tc>
          <w:tcPr>
            <w:tcW w:type="dxa" w:w="1458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Joy Cham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1.20%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0.40%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1.60%</w:t>
            </w:r>
          </w:p>
        </w:tc>
        <w:tc>
          <w:tcPr>
            <w:tcW w:type="dxa" w:w="1736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8,000,000股</w:t>
            </w:r>
          </w:p>
        </w:tc>
        <w:tc>
          <w:tcPr>
            <w:tcW w:type="dxa" w:w="2082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0.80% / 4,000,000股</w:t>
            </w:r>
          </w:p>
        </w:tc>
      </w:tr>
      <w:tr>
        <w:trPr/>
        <w:tc>
          <w:tcPr>
            <w:tcW w:type="dxa" w:w="1458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Kael Guan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1.20%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0.30%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1.50%</w:t>
            </w:r>
          </w:p>
        </w:tc>
        <w:tc>
          <w:tcPr>
            <w:tcW w:type="dxa" w:w="1736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7,500,000股</w:t>
            </w:r>
          </w:p>
        </w:tc>
        <w:tc>
          <w:tcPr>
            <w:tcW w:type="dxa" w:w="2082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0.75% / 3,750,000股</w:t>
            </w:r>
          </w:p>
        </w:tc>
      </w:tr>
      <w:tr>
        <w:trPr/>
        <w:tc>
          <w:tcPr>
            <w:tcW w:type="dxa" w:w="1458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Rio Shen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1.20%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0.30%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1.50%</w:t>
            </w:r>
          </w:p>
        </w:tc>
        <w:tc>
          <w:tcPr>
            <w:tcW w:type="dxa" w:w="1736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7,500,000股</w:t>
            </w:r>
          </w:p>
        </w:tc>
        <w:tc>
          <w:tcPr>
            <w:tcW w:type="dxa" w:w="2082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0.75% / 3,750,000股</w:t>
            </w:r>
          </w:p>
        </w:tc>
      </w:tr>
      <w:tr>
        <w:trPr/>
        <w:tc>
          <w:tcPr>
            <w:tcW w:type="dxa" w:w="1458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Julio Xiong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1.20%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0.20%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1.40%</w:t>
            </w:r>
          </w:p>
        </w:tc>
        <w:tc>
          <w:tcPr>
            <w:tcW w:type="dxa" w:w="1736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7,000,000股</w:t>
            </w:r>
          </w:p>
        </w:tc>
        <w:tc>
          <w:tcPr>
            <w:tcW w:type="dxa" w:w="2082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0.70% / 3,500,000股</w:t>
            </w:r>
          </w:p>
        </w:tc>
      </w:tr>
      <w:tr>
        <w:trPr/>
        <w:tc>
          <w:tcPr>
            <w:tcW w:type="dxa" w:w="1458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合计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4.80%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1.20%</w:t>
            </w:r>
          </w:p>
        </w:tc>
        <w:tc>
          <w:tcPr>
            <w:tcW w:type="dxa" w:w="1250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6.00%</w:t>
            </w:r>
          </w:p>
        </w:tc>
        <w:tc>
          <w:tcPr>
            <w:tcW w:type="dxa" w:w="1736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30,000,000股</w:t>
            </w:r>
          </w:p>
        </w:tc>
        <w:tc>
          <w:tcPr>
            <w:tcW w:type="dxa" w:w="2082"/>
            <w:vAlign w:val="center"/>
            <w:tcMar>
              <w:top w:w="80" w:type="dxa"/>
              <w:bottom w:w="8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3.00% / 15,000,000股</w:t>
            </w:r>
          </w:p>
        </w:tc>
      </w:tr>
    </w:tbl>
    <w:p>
      <w:pPr>
        <w:pStyle w:val="ListBullet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Joy Cham：负责全球独立风控判断并覆盖全部国家、客户、产品、资金及业务线，同时承担新加坡相关公司事务，岗位增加份额建议为0.40%。</w:t>
      </w:r>
    </w:p>
    <w:p>
      <w:pPr>
        <w:pStyle w:val="ListBullet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Kael Guan：负责集团财务、预算、资金安全、统一账本、融资、估值及长期激励实施，岗位增加份额建议为0.30%。</w:t>
      </w:r>
    </w:p>
    <w:p>
      <w:pPr>
        <w:pStyle w:val="ListBullet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Rio Shen：负责美洲跨区域经营、客户收入、监管与银行关系、主体合规及本地组织建设，岗位增加份额建议为0.30%。</w:t>
      </w:r>
    </w:p>
    <w:p>
      <w:pPr>
        <w:pStyle w:val="ListBullet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Julio Xiong：负责中国境内客户净贡献、银行及持牌机构渠道、境内主体、发薪税务、融资渠道及关键资源引入，岗位增加份额建议为0.20%。</w:t>
      </w:r>
    </w:p>
    <w:p>
      <w:pPr/>
      <w:r>
        <w:rPr>
          <w:rFonts w:ascii="Times New Roman" w:hAnsi="Times New Roman" w:cs="Times New Roman" w:eastAsia="STFangsong"/>
          <w:b w:val="0"/>
          <w:color w:val="222222"/>
          <w:sz w:val="22"/>
        </w:rPr>
        <w:t>按未来三轮融资每轮稀释10%、累计保留72.9%及集团10亿美元估值测算，上述目标期权的未扣税费毛值依次约为11,664,000美元、10,935,000美元、10,935,000美元和10,206,000美元，均高于核心合伙人10,000,000美元的内部价值校准目标。该测算不构成收益保证。</w:t>
      </w:r>
    </w:p>
    <w:p>
      <w:pPr>
        <w:pStyle w:val="Heading1"/>
        <w:keepNext/>
        <w:pageBreakBefore/>
      </w:pPr>
      <w:r>
        <w:rPr>
          <w:rFonts w:ascii="Arial" w:hAnsi="Arial" w:cs="Arial" w:eastAsia="Heiti SC"/>
        </w:rPr>
        <w:t>七、长期激励工具与年度授予机制</w:t>
      </w:r>
    </w:p>
    <w:p>
      <w:pPr>
        <w:pStyle w:val="Heading2"/>
        <w:keepNext/>
      </w:pPr>
      <w:r>
        <w:rPr>
          <w:rFonts w:ascii="Arial" w:hAnsi="Arial" w:cs="Arial" w:eastAsia="Heiti SC"/>
        </w:rPr>
        <w:t>7.1 三类工具分开管理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200"/>
        <w:gridCol w:w="1500"/>
        <w:gridCol w:w="2450"/>
        <w:gridCol w:w="1700"/>
        <w:gridCol w:w="1510"/>
      </w:tblGrid>
      <w:tr>
        <w:trPr>
          <w:tblHeader w:val="true"/>
          <w:cantSplit w:val="true"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工具</w:t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是否出资</w:t>
            </w:r>
          </w:p>
        </w:tc>
        <w:tc>
          <w:tcPr>
            <w:tcW w:type="dxa" w:w="24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定价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归属/持有</w:t>
            </w:r>
          </w:p>
        </w:tc>
        <w:tc>
          <w:tcPr>
            <w:tcW w:type="dxa" w:w="151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主要对象</w:t>
            </w:r>
          </w:p>
        </w:tc>
      </w:tr>
      <w:tr>
        <w:trPr>
          <w:cantSplit w:val="true"/>
        </w:trPr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A. 岗位/贡献奖励期权</w:t>
            </w:r>
          </w:p>
        </w:tc>
        <w:tc>
          <w:tcPr>
            <w:tcW w:type="dxa" w:w="1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授予时不出资；行权时支付</w:t>
            </w:r>
          </w:p>
        </w:tc>
        <w:tc>
          <w:tcPr>
            <w:tcW w:type="dxa" w:w="24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拟以0.0001美元/股或最低合法价格</w:t>
            </w:r>
          </w:p>
        </w:tc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每年一批，建议三年归属</w:t>
            </w:r>
          </w:p>
        </w:tc>
        <w:tc>
          <w:tcPr>
            <w:tcW w:type="dxa" w:w="15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合伙人、候补、历史贡献人员</w:t>
            </w:r>
          </w:p>
        </w:tc>
      </w:tr>
      <w:tr>
        <w:trPr>
          <w:cantSplit w:val="true"/>
        </w:trPr>
        <w:tc>
          <w:tcPr>
            <w:tcW w:type="dxa" w:w="22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B. 老股/BVI权益认购</w:t>
            </w:r>
          </w:p>
        </w:tc>
        <w:tc>
          <w:tcPr>
            <w:tcW w:type="dxa" w:w="15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真实出资</w:t>
            </w:r>
          </w:p>
        </w:tc>
        <w:tc>
          <w:tcPr>
            <w:tcW w:type="dxa" w:w="24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按批次内部估值及历史贡献折扣</w:t>
            </w:r>
          </w:p>
        </w:tc>
        <w:tc>
          <w:tcPr>
            <w:tcW w:type="dxa" w:w="17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出资后取得，受转让和回购限制</w:t>
            </w:r>
          </w:p>
        </w:tc>
        <w:tc>
          <w:tcPr>
            <w:tcW w:type="dxa" w:w="15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老员工及自愿参与人员</w:t>
            </w:r>
          </w:p>
        </w:tc>
      </w:tr>
      <w:tr>
        <w:trPr>
          <w:cantSplit w:val="true"/>
        </w:trPr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C. 认购配套期权</w:t>
            </w:r>
          </w:p>
        </w:tc>
        <w:tc>
          <w:tcPr>
            <w:tcW w:type="dxa" w:w="1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认购股份出资；期权行权另付</w:t>
            </w:r>
          </w:p>
        </w:tc>
        <w:tc>
          <w:tcPr>
            <w:tcW w:type="dxa" w:w="24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行权价原则上等于同期认购价</w:t>
            </w:r>
          </w:p>
        </w:tc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建议四年归属、第一年Cliff</w:t>
            </w:r>
          </w:p>
        </w:tc>
        <w:tc>
          <w:tcPr>
            <w:tcW w:type="dxa" w:w="15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年度员工认购参与者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7DBE2"/>
          <w:left w:val="single" w:sz="4" w:space="0" w:color="D7DBE2"/>
          <w:bottom w:val="single" w:sz="4" w:space="0" w:color="D7DBE2"/>
          <w:right w:val="single" w:sz="4" w:space="0" w:color="D7DBE2"/>
          <w:insideH w:val="single" w:sz="4" w:space="0" w:color="D7DBE2"/>
          <w:insideV w:val="single" w:sz="4" w:space="0" w:color="D7DBE2"/>
        </w:tblBorders>
      </w:tblPr>
      <w:tblGrid>
        <w:gridCol w:w="9360"/>
      </w:tblGrid>
      <w:tr>
        <w:trPr>
          <w:tblHeader w:val="true"/>
          <w:cantSplit w:val="true"/>
        </w:trPr>
        <w:tc>
          <w:tcPr>
            <w:tcW w:type="dxa" w:w="9360"/>
            <w:tcMar>
              <w:top w:w="140" w:type="dxa"/>
              <w:start w:w="120" w:type="dxa"/>
              <w:bottom w:w="140" w:type="dxa"/>
              <w:end w:w="120" w:type="dxa"/>
            </w:tcMar>
            <w:shd w:fill="E8EEF5"/>
          </w:tcPr>
          <w:p>
            <w:pPr>
              <w:spacing w:after="0" w:line="264" w:lineRule="auto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0B2545"/>
                <w:sz w:val="21"/>
              </w:rPr>
              <w:t xml:space="preserve">防止重复激励　</w:t>
            </w: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21"/>
              </w:rPr>
              <w:t>同一笔认购可按批准规则配套期权，但不得再以“历史贡献”名义重复授予同一期间的奖励期权。每名参与者须建立唯一权益台账。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Arial" w:hAnsi="Arial" w:cs="Arial" w:eastAsia="Heiti SC"/>
        </w:rPr>
        <w:t>7.2 年度滚动授予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1.  先设岗位目标额度或区间，不一次性把未来两至四年的全部额度无条件锁定。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2.  每年年初确认岗位目标、年度授予目标和证据口径；年末按绩效系数核定实际授予数量。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3.  每一年度授予形成独立批次，建议按三年归属：满十二个月归属三分之一，其余三分之二在后续二十四个月按月归属。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4.  第二年形成新批次，与第一年未归属部分重叠，从而同时奖励当期结果并维持长期绑定。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5.  个人累计授予不得超过批准的个人上限；年度浮动不得突破对应子池和总池上限。现任四人目标合计已经达到6%子池上限，超过100%的个人系数须以同池可重新分配额度为前提，或者另行提交股东层批准，不形成自动追加权利。</w:t>
      </w:r>
    </w:p>
    <w:p>
      <w:pPr>
        <w:pStyle w:val="Heading1"/>
        <w:keepNext/>
      </w:pPr>
      <w:r>
        <w:rPr>
          <w:rFonts w:ascii="Arial" w:hAnsi="Arial" w:cs="Arial" w:eastAsia="Heiti SC"/>
        </w:rPr>
        <w:t>八、老员工历史贡献与员工认购方案</w:t>
      </w:r>
    </w:p>
    <w:p>
      <w:pPr>
        <w:pStyle w:val="Heading2"/>
        <w:keepNext/>
      </w:pPr>
      <w:r>
        <w:rPr>
          <w:rFonts w:ascii="Arial" w:hAnsi="Arial" w:cs="Arial" w:eastAsia="Heiti SC"/>
        </w:rPr>
        <w:t>8.1 老员工分层处理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900"/>
        <w:gridCol w:w="2500"/>
        <w:gridCol w:w="3260"/>
        <w:gridCol w:w="1700"/>
      </w:tblGrid>
      <w:tr>
        <w:trPr>
          <w:tblHeader w:val="true"/>
          <w:cantSplit w:val="true"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安排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适用条件</w:t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价格/额度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目的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历史贡献认购轮</w:t>
            </w:r>
          </w:p>
        </w:tc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原则上连续服务满一年、绩效合格、有可验证贡献</w:t>
            </w:r>
          </w:p>
        </w:tc>
        <w:tc>
          <w:tcPr>
            <w:tcW w:type="dxa" w:w="3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按加入阶段设置10,000,000/20,000,000/30,000,000美元等内部估值批次，具体以批准表为准</w:t>
            </w:r>
          </w:p>
        </w:tc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让老员工以真实出资表达长期绑定，并承认早期贡献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历史贡献奖励期权</w:t>
            </w:r>
          </w:p>
        </w:tc>
        <w:tc>
          <w:tcPr>
            <w:tcW w:type="dxa" w:w="25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仅限关键、持续、不可替代贡献，不普遍发放</w:t>
            </w:r>
          </w:p>
        </w:tc>
        <w:tc>
          <w:tcPr>
            <w:tcW w:type="dxa" w:w="3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低行权价期权；个人数量按岗位、司龄、贡献和业绩核定</w:t>
            </w:r>
          </w:p>
        </w:tc>
        <w:tc>
          <w:tcPr>
            <w:tcW w:type="dxa" w:w="17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奖励过去并约束未来持续服务</w:t>
            </w:r>
          </w:p>
        </w:tc>
      </w:tr>
      <w:tr>
        <w:trPr>
          <w:cantSplit w:val="true"/>
        </w:trPr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后续年度认购轮</w:t>
            </w:r>
          </w:p>
        </w:tc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公司年度目标和个人KPI均达标，连续服务满六个月</w:t>
            </w:r>
          </w:p>
        </w:tc>
        <w:tc>
          <w:tcPr>
            <w:tcW w:type="dxa" w:w="3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按窗口期经确认的内部估值认购，可配套认购量50%的期权</w:t>
            </w:r>
          </w:p>
        </w:tc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新老员工按未来贡献公平参与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是否参加认购完全自愿。未参加认购不应影响已取得的工资、奖金或依法享有的劳动权益；但不出资即不取得认购股份。历史贡献奖励期权由公司主动核定，不以个人必须认购为前提。</w:t>
      </w:r>
    </w:p>
    <w:p>
      <w:pPr>
        <w:pStyle w:val="Heading2"/>
        <w:keepNext/>
      </w:pPr>
      <w:r>
        <w:rPr>
          <w:rFonts w:ascii="Arial" w:hAnsi="Arial" w:cs="Arial" w:eastAsia="Heiti SC"/>
        </w:rPr>
        <w:t>8.2 出资支持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员工借款：原则上不超过个人认购金额的70%，建议年利率3%单利、期限不超过五年；须经当地法律、税务、关联交易和偿付能力审核。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奖金转股：员工可自愿将已依法确认并完税的年度奖金部分或全部用于认购。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组合出资：现金、合规借款与奖金转股可以组合；不得以强制扣薪、隐瞒风险或保本承诺方式推动参与。</w:t>
      </w:r>
    </w:p>
    <w:p>
      <w:pPr>
        <w:pStyle w:val="Heading1"/>
        <w:keepNext/>
      </w:pPr>
      <w:r>
        <w:rPr>
          <w:rFonts w:ascii="Arial" w:hAnsi="Arial" w:cs="Arial" w:eastAsia="Heiti SC"/>
        </w:rPr>
        <w:t>九、Kael Guan主案例：CFO岗位薪资与长期激励</w:t>
      </w:r>
    </w:p>
    <w:p>
      <w:pPr>
        <w:pStyle w:val="Heading2"/>
        <w:keepNext/>
      </w:pPr>
      <w:r>
        <w:rPr>
          <w:rFonts w:ascii="Arial" w:hAnsi="Arial" w:cs="Arial" w:eastAsia="Heiti SC"/>
        </w:rPr>
        <w:t>9.1 任职定位与职责</w:t>
      </w: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Kael Guan拟任集团首席财务官、财务线负责人及合伙人委员会财务与资本席。任期两年，每十二个月复核一次；现阶段履职形态、转全职时间、签约主体和工作安排由正式任职/服务文件明确。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统一集团预算、会计核算、合并报表、估值、审计及经营数据口径。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建设会计与经营分析、资金收付、业务财务与结算、资金管理能力，对集团资金安全和使用秩序承担第一责任。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完成资产负债盘点和统一账本，形成上市主体、属地主体、组织及商户维度的合并报表框架。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建立法币、USDT、USDC等不同资产的资金管理、流动性和低风险理财规则，收益目标不得诱导超风险投资。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推进股权与期权方案条款化、台账化及实施，明确授予、定价、归属、行权、回购、税费和支付路径。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统筹投融资相关财务材料、合同及法律顾问协调，形成融资、尽调和资本化资料的统一出口。</w:t>
      </w:r>
    </w:p>
    <w:p>
      <w:pPr>
        <w:pStyle w:val="Heading2"/>
        <w:keepNext/>
      </w:pPr>
      <w:r>
        <w:rPr>
          <w:rFonts w:ascii="Arial" w:hAnsi="Arial" w:cs="Arial" w:eastAsia="Heiti SC"/>
        </w:rPr>
        <w:t>9.2 现金薪酬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700"/>
        <w:gridCol w:w="1800"/>
        <w:gridCol w:w="1700"/>
        <w:gridCol w:w="1900"/>
        <w:gridCol w:w="2260"/>
      </w:tblGrid>
      <w:tr>
        <w:trPr>
          <w:tblHeader w:val="true"/>
          <w:cantSplit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阶段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月度目标薪酬</w:t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固定部分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季度绩效计提</w:t>
            </w:r>
          </w:p>
        </w:tc>
        <w:tc>
          <w:tcPr>
            <w:tcW w:type="dxa" w:w="22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生效条件</w:t>
            </w:r>
          </w:p>
        </w:tc>
      </w:tr>
      <w:tr>
        <w:trPr>
          <w:cantSplit w:val="true"/>
        </w:trPr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考察期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4,000美元</w:t>
            </w:r>
          </w:p>
        </w:tc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按考察安排确认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按考察结论核定</w:t>
            </w:r>
          </w:p>
        </w:tc>
        <w:tc>
          <w:tcPr>
            <w:tcW w:type="dxa" w:w="2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原则三个月，可按书面里程碑提前通过</w:t>
            </w:r>
          </w:p>
        </w:tc>
      </w:tr>
      <w:tr>
        <w:trPr>
          <w:cantSplit w:val="true"/>
        </w:trPr>
        <w:tc>
          <w:tcPr>
            <w:tcW w:type="dxa" w:w="17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正式进入—融资前</w:t>
            </w:r>
          </w:p>
        </w:tc>
        <w:tc>
          <w:tcPr>
            <w:tcW w:type="dxa" w:w="18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6,000美元</w:t>
            </w:r>
          </w:p>
        </w:tc>
        <w:tc>
          <w:tcPr>
            <w:tcW w:type="dxa" w:w="17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4,200美元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1,800美元</w:t>
            </w:r>
          </w:p>
        </w:tc>
        <w:tc>
          <w:tcPr>
            <w:tcW w:type="dxa" w:w="2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考察通过、正式进入程序完成</w:t>
            </w:r>
          </w:p>
        </w:tc>
      </w:tr>
      <w:tr>
        <w:trPr>
          <w:cantSplit w:val="true"/>
        </w:trPr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首次外部融资后</w:t>
            </w:r>
          </w:p>
        </w:tc>
        <w:tc>
          <w:tcPr>
            <w:tcW w:type="dxa" w:w="18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8,000美元</w:t>
            </w:r>
          </w:p>
        </w:tc>
        <w:tc>
          <w:tcPr>
            <w:tcW w:type="dxa" w:w="17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5,600美元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2,400美元</w:t>
            </w:r>
          </w:p>
        </w:tc>
        <w:tc>
          <w:tcPr>
            <w:tcW w:type="dxa" w:w="2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股权融资交割到账、现金保障期满足规则后次月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7A5A00"/>
          <w:sz w:val="22"/>
        </w:rPr>
        <w:t>年度现金激励建议值为年度固定薪资的0%-20%，目标值10%；仅在集团利润及现金预算达标、个人年度考核不低于70分且无重大红线事项时核定。该建议值须与Kael正式谈话确认后生效。</w:t>
      </w:r>
    </w:p>
    <w:p>
      <w:pPr>
        <w:pStyle w:val="Heading2"/>
        <w:keepNext/>
      </w:pPr>
      <w:r>
        <w:rPr>
          <w:rFonts w:ascii="Arial" w:hAnsi="Arial" w:cs="Arial" w:eastAsia="Heiti SC"/>
        </w:rPr>
        <w:t>9.3 两年长期激励测算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050"/>
        <w:gridCol w:w="1900"/>
        <w:gridCol w:w="2500"/>
        <w:gridCol w:w="2910"/>
      </w:tblGrid>
      <w:tr>
        <w:trPr>
          <w:tblHeader w:val="true"/>
          <w:cantSplit w:val="true"/>
        </w:trPr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项目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建议值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股数/金额</w:t>
            </w:r>
          </w:p>
        </w:tc>
        <w:tc>
          <w:tcPr>
            <w:tcW w:type="dxa" w:w="291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说明</w:t>
            </w:r>
          </w:p>
        </w:tc>
      </w:tr>
      <w:tr>
        <w:trPr>
          <w:cantSplit w:val="true"/>
        </w:trPr>
        <w:tc>
          <w:tcPr>
            <w:tcW w:type="dxa" w:w="20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两年目标额度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1.50%</w:t>
            </w:r>
          </w:p>
        </w:tc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7,500,000股期权</w:t>
            </w:r>
          </w:p>
        </w:tc>
        <w:tc>
          <w:tcPr>
            <w:tcW w:type="dxa" w:w="29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与Kael选择的期权优先方向一致</w:t>
            </w:r>
          </w:p>
        </w:tc>
      </w:tr>
      <w:tr>
        <w:trPr>
          <w:cantSplit w:val="true"/>
        </w:trPr>
        <w:tc>
          <w:tcPr>
            <w:tcW w:type="dxa" w:w="20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年度目标额度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0.75%</w:t>
            </w:r>
          </w:p>
        </w:tc>
        <w:tc>
          <w:tcPr>
            <w:tcW w:type="dxa" w:w="25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3,750,000股/年</w:t>
            </w:r>
          </w:p>
        </w:tc>
        <w:tc>
          <w:tcPr>
            <w:tcW w:type="dxa" w:w="29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每年按年度结果核定一批</w:t>
            </w:r>
          </w:p>
        </w:tc>
      </w:tr>
      <w:tr>
        <w:trPr>
          <w:cantSplit w:val="true"/>
        </w:trPr>
        <w:tc>
          <w:tcPr>
            <w:tcW w:type="dxa" w:w="20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年度授予区间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目标的80%-120%</w:t>
            </w:r>
          </w:p>
        </w:tc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3,000,000-4,500,000股/年</w:t>
            </w:r>
          </w:p>
        </w:tc>
        <w:tc>
          <w:tcPr>
            <w:tcW w:type="dxa" w:w="29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低于70分为0；累计仍受个人及6%子池上限约束</w:t>
            </w:r>
          </w:p>
        </w:tc>
      </w:tr>
      <w:tr>
        <w:trPr>
          <w:cantSplit w:val="true"/>
        </w:trPr>
        <w:tc>
          <w:tcPr>
            <w:tcW w:type="dxa" w:w="20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两年建议区间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1.20%-1.80%</w:t>
            </w:r>
          </w:p>
        </w:tc>
        <w:tc>
          <w:tcPr>
            <w:tcW w:type="dxa" w:w="25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6,000,000-9,000,000股</w:t>
            </w:r>
          </w:p>
        </w:tc>
        <w:tc>
          <w:tcPr>
            <w:tcW w:type="dxa" w:w="29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1.50%为目标，不是无条件承诺</w:t>
            </w:r>
          </w:p>
        </w:tc>
      </w:tr>
      <w:tr>
        <w:trPr>
          <w:cantSplit w:val="true"/>
        </w:trPr>
        <w:tc>
          <w:tcPr>
            <w:tcW w:type="dxa" w:w="20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拟议行权价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0.0001美元/股</w:t>
            </w:r>
          </w:p>
        </w:tc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目标额度总行权成本750美元</w:t>
            </w:r>
          </w:p>
        </w:tc>
        <w:tc>
          <w:tcPr>
            <w:tcW w:type="dxa" w:w="29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仅在法律、税务、估值和会计意见确认可行后适用</w:t>
            </w:r>
          </w:p>
        </w:tc>
      </w:tr>
      <w:tr>
        <w:trPr>
          <w:cantSplit w:val="true"/>
        </w:trPr>
        <w:tc>
          <w:tcPr>
            <w:tcW w:type="dxa" w:w="20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三轮融资稀释后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按每轮稀释10%测算</w:t>
            </w:r>
          </w:p>
        </w:tc>
        <w:tc>
          <w:tcPr>
            <w:tcW w:type="dxa" w:w="25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1.50%×72.9%=1.0935%</w:t>
            </w:r>
          </w:p>
        </w:tc>
        <w:tc>
          <w:tcPr>
            <w:tcW w:type="dxa" w:w="29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10亿美元估值下毛值约10,935,000美元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7DBE2"/>
          <w:left w:val="single" w:sz="4" w:space="0" w:color="D7DBE2"/>
          <w:bottom w:val="single" w:sz="4" w:space="0" w:color="D7DBE2"/>
          <w:right w:val="single" w:sz="4" w:space="0" w:color="D7DBE2"/>
          <w:insideH w:val="single" w:sz="4" w:space="0" w:color="D7DBE2"/>
          <w:insideV w:val="single" w:sz="4" w:space="0" w:color="D7DBE2"/>
        </w:tblBorders>
      </w:tblPr>
      <w:tblGrid>
        <w:gridCol w:w="9360"/>
      </w:tblGrid>
      <w:tr>
        <w:trPr>
          <w:tblHeader w:val="true"/>
          <w:cantSplit w:val="true"/>
        </w:trPr>
        <w:tc>
          <w:tcPr>
            <w:tcW w:type="dxa" w:w="9360"/>
            <w:tcMar>
              <w:top w:w="140" w:type="dxa"/>
              <w:start w:w="120" w:type="dxa"/>
              <w:bottom w:w="140" w:type="dxa"/>
              <w:end w:w="120" w:type="dxa"/>
            </w:tcMar>
            <w:shd w:fill="E8EEF5"/>
          </w:tcPr>
          <w:p>
            <w:pPr>
              <w:spacing w:after="0" w:line="264" w:lineRule="auto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0B2545"/>
                <w:sz w:val="21"/>
              </w:rPr>
              <w:t xml:space="preserve">Kael归属安排　</w:t>
            </w: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21"/>
              </w:rPr>
              <w:t>2026年度/首年度实际授予形成第一批，第二年度实际授予形成第二批；每批建议三年归属，满一年归属1/3，其余2/3在后续24个月按月归属。两批将出现重叠归属。未达到年度授予门槛的部分不追溯补发。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rPr>
          <w:rFonts w:ascii="Arial" w:hAnsi="Arial" w:cs="Arial" w:eastAsia="Heiti SC"/>
        </w:rPr>
        <w:t>9.4 Kael年度考核建议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350"/>
        <w:gridCol w:w="1000"/>
        <w:gridCol w:w="6010"/>
      </w:tblGrid>
      <w:tr>
        <w:trPr>
          <w:tblHeader w:val="true"/>
          <w:cantSplit w:val="true"/>
        </w:trPr>
        <w:tc>
          <w:tcPr>
            <w:tcW w:type="dxa" w:w="23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考核领域</w:t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权重</w:t>
            </w:r>
          </w:p>
        </w:tc>
        <w:tc>
          <w:tcPr>
            <w:tcW w:type="dxa" w:w="601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核心结果</w:t>
            </w:r>
          </w:p>
        </w:tc>
      </w:tr>
      <w:tr>
        <w:trPr>
          <w:cantSplit w:val="true"/>
        </w:trPr>
        <w:tc>
          <w:tcPr>
            <w:tcW w:type="dxa" w:w="23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财务、预算与资金安全</w:t>
            </w:r>
          </w:p>
        </w:tc>
        <w:tc>
          <w:tcPr>
            <w:tcW w:type="dxa" w:w="10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45%</w:t>
            </w:r>
          </w:p>
        </w:tc>
        <w:tc>
          <w:tcPr>
            <w:tcW w:type="dxa" w:w="60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预算与资金使用秩序、现金安全、权限隔离、法币/加密资产管理规则稳定运行</w:t>
            </w:r>
          </w:p>
        </w:tc>
      </w:tr>
      <w:tr>
        <w:trPr>
          <w:cantSplit w:val="true"/>
        </w:trPr>
        <w:tc>
          <w:tcPr>
            <w:tcW w:type="dxa" w:w="23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集团财务基础</w:t>
            </w:r>
          </w:p>
        </w:tc>
        <w:tc>
          <w:tcPr>
            <w:tcW w:type="dxa" w:w="10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25%</w:t>
            </w:r>
          </w:p>
        </w:tc>
        <w:tc>
          <w:tcPr>
            <w:tcW w:type="dxa" w:w="60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统一账本、资产负债盘点、合并报表及关键数据上收按确认计划完成</w:t>
            </w:r>
          </w:p>
        </w:tc>
      </w:tr>
      <w:tr>
        <w:trPr>
          <w:cantSplit w:val="true"/>
        </w:trPr>
        <w:tc>
          <w:tcPr>
            <w:tcW w:type="dxa" w:w="23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资本与长期激励实施</w:t>
            </w:r>
          </w:p>
        </w:tc>
        <w:tc>
          <w:tcPr>
            <w:tcW w:type="dxa" w:w="10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20%</w:t>
            </w:r>
          </w:p>
        </w:tc>
        <w:tc>
          <w:tcPr>
            <w:tcW w:type="dxa" w:w="601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融资材料、估值、授予及台账文件按节点形成可执行成果</w:t>
            </w:r>
          </w:p>
        </w:tc>
      </w:tr>
      <w:tr>
        <w:trPr>
          <w:cantSplit w:val="true"/>
        </w:trPr>
        <w:tc>
          <w:tcPr>
            <w:tcW w:type="dxa" w:w="23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系统、审计与顾问准备</w:t>
            </w:r>
          </w:p>
        </w:tc>
        <w:tc>
          <w:tcPr>
            <w:tcW w:type="dxa" w:w="10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10%</w:t>
            </w:r>
          </w:p>
        </w:tc>
        <w:tc>
          <w:tcPr>
            <w:tcW w:type="dxa" w:w="601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财务系统可用；审计/尽调材料和外部顾问协同达到年度确认标准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考察期提前通过的建议条件：集团财务现状和账户清单完成盘点；统一账本及合并口径方案经确认；资金权限和审批方案形成；首批投融资/激励法律文件路径明确。满足程度由合伙人委员会形成书面结论。</w:t>
      </w:r>
    </w:p>
    <w:p>
      <w:pPr>
        <w:pStyle w:val="Heading1"/>
        <w:keepNext/>
      </w:pPr>
      <w:r>
        <w:rPr>
          <w:rFonts w:ascii="Arial" w:hAnsi="Arial" w:cs="Arial" w:eastAsia="Heiti SC"/>
        </w:rPr>
        <w:t>十、价值层级与股数校准</w:t>
      </w: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以下仅为内部沟通模型：假设起始完全摊薄股本500,000,000股，未来三轮融资每轮稀释10%，累计保留系数72.9%，集团最终估值10亿美元。未考虑行权成本、税费、流动性折价、汇率和实际融资条款。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300"/>
        <w:gridCol w:w="2300"/>
        <w:gridCol w:w="1900"/>
        <w:gridCol w:w="2860"/>
      </w:tblGrid>
      <w:tr>
        <w:trPr>
          <w:tblHeader w:val="true"/>
          <w:cantSplit w:val="true"/>
        </w:trPr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人才层级</w:t>
            </w:r>
          </w:p>
        </w:tc>
        <w:tc>
          <w:tcPr>
            <w:tcW w:type="dxa" w:w="23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长期价值沟通目标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所需起始比例</w:t>
            </w:r>
          </w:p>
        </w:tc>
        <w:tc>
          <w:tcPr>
            <w:tcW w:type="dxa" w:w="28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对应起始股数</w:t>
            </w:r>
          </w:p>
        </w:tc>
      </w:tr>
      <w:tr>
        <w:trPr>
          <w:cantSplit w:val="true"/>
        </w:trPr>
        <w:tc>
          <w:tcPr>
            <w:tcW w:type="dxa" w:w="23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核心合伙人</w:t>
            </w:r>
          </w:p>
        </w:tc>
        <w:tc>
          <w:tcPr>
            <w:tcW w:type="dxa" w:w="23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10,000,000美元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约1.3717%</w:t>
            </w:r>
          </w:p>
        </w:tc>
        <w:tc>
          <w:tcPr>
            <w:tcW w:type="dxa" w:w="286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约6,858,711股</w:t>
            </w:r>
          </w:p>
        </w:tc>
      </w:tr>
      <w:tr>
        <w:trPr>
          <w:cantSplit w:val="true"/>
        </w:trPr>
        <w:tc>
          <w:tcPr>
            <w:tcW w:type="dxa" w:w="23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重要管理者/候补合伙人</w:t>
            </w:r>
          </w:p>
        </w:tc>
        <w:tc>
          <w:tcPr>
            <w:tcW w:type="dxa" w:w="23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1,000,000美元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约0.1372%</w:t>
            </w:r>
          </w:p>
        </w:tc>
        <w:tc>
          <w:tcPr>
            <w:tcW w:type="dxa" w:w="286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约685,871股</w:t>
            </w:r>
          </w:p>
        </w:tc>
      </w:tr>
      <w:tr>
        <w:trPr>
          <w:cantSplit w:val="true"/>
        </w:trPr>
        <w:tc>
          <w:tcPr>
            <w:tcW w:type="dxa" w:w="23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关键骨干</w:t>
            </w:r>
          </w:p>
        </w:tc>
        <w:tc>
          <w:tcPr>
            <w:tcW w:type="dxa" w:w="23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500,000美元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约0.0686%</w:t>
            </w:r>
          </w:p>
        </w:tc>
        <w:tc>
          <w:tcPr>
            <w:tcW w:type="dxa" w:w="286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约342,936股</w:t>
            </w:r>
          </w:p>
        </w:tc>
      </w:tr>
      <w:tr>
        <w:trPr>
          <w:cantSplit w:val="true"/>
        </w:trPr>
        <w:tc>
          <w:tcPr>
            <w:tcW w:type="dxa" w:w="23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核心员工</w:t>
            </w:r>
          </w:p>
        </w:tc>
        <w:tc>
          <w:tcPr>
            <w:tcW w:type="dxa" w:w="23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100,000美元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约0.0137%</w:t>
            </w:r>
          </w:p>
        </w:tc>
        <w:tc>
          <w:tcPr>
            <w:tcW w:type="dxa" w:w="286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约68,587股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7A5A00"/>
          <w:sz w:val="22"/>
        </w:rPr>
        <w:t>Kael目标额度7,500,000股高于核心合伙人10,000,000美元目标所需的约6,858,711股，在上述假设下形成约10,935,000美元毛值。该结果只证明数量校准逻辑，不构成估值或收益保证。</w:t>
      </w:r>
    </w:p>
    <w:p>
      <w:pPr>
        <w:pStyle w:val="Heading1"/>
        <w:keepNext/>
      </w:pPr>
      <w:r>
        <w:rPr>
          <w:rFonts w:ascii="Arial" w:hAnsi="Arial" w:cs="Arial" w:eastAsia="Heiti SC"/>
        </w:rPr>
        <w:t>十一、离任、回购与特殊情形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650"/>
        <w:gridCol w:w="3060"/>
        <w:gridCol w:w="2990"/>
        <w:gridCol w:w="1660"/>
      </w:tblGrid>
      <w:tr>
        <w:trPr>
          <w:tblHeader w:val="true"/>
          <w:cantSplit w:val="true"/>
        </w:trPr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6"/>
              </w:rPr>
              <w:t>情形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6"/>
              </w:rPr>
              <w:t>认购股份/BVI权益</w:t>
            </w:r>
          </w:p>
        </w:tc>
        <w:tc>
          <w:tcPr>
            <w:tcW w:type="dxa" w:w="299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6"/>
              </w:rPr>
              <w:t>奖励或配套期权</w:t>
            </w:r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6"/>
              </w:rPr>
              <w:t>原则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6"/>
              </w:rPr>
              <w:t>正常离任/协商退出</w:t>
            </w:r>
          </w:p>
        </w:tc>
        <w:tc>
          <w:tcPr>
            <w:tcW w:type="dxa" w:w="30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上市前按协议约定的成本＋3%单利或经批准的批次估值公式回购；不得突破协议上限</w:t>
            </w:r>
          </w:p>
        </w:tc>
        <w:tc>
          <w:tcPr>
            <w:tcW w:type="dxa" w:w="299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未归属作废；已归属未行权原则上90日内行权；已行权股份按协议回购</w:t>
            </w:r>
          </w:p>
        </w:tc>
        <w:tc>
          <w:tcPr>
            <w:tcW w:type="dxa" w:w="16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完成权限、资料、客户、资产和事项交接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6"/>
              </w:rPr>
              <w:t>无过错解除</w:t>
            </w:r>
          </w:p>
        </w:tc>
        <w:tc>
          <w:tcPr>
            <w:tcW w:type="dxa" w:w="30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按公平、可执行的Good Leaver公式处理</w:t>
            </w:r>
          </w:p>
        </w:tc>
        <w:tc>
          <w:tcPr>
            <w:tcW w:type="dxa" w:w="299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已归属部分保留行权窗口，未归属原则上作废或由委员会酌情处理</w:t>
            </w:r>
          </w:p>
        </w:tc>
        <w:tc>
          <w:tcPr>
            <w:tcW w:type="dxa" w:w="16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不得低于适用法律强制标准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6"/>
              </w:rPr>
              <w:t>因重大过错解除</w:t>
            </w:r>
          </w:p>
        </w:tc>
        <w:tc>
          <w:tcPr>
            <w:tcW w:type="dxa" w:w="30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按原始成本、行权价或公允价值孰低等协议公式处理</w:t>
            </w:r>
          </w:p>
        </w:tc>
        <w:tc>
          <w:tcPr>
            <w:tcW w:type="dxa" w:w="299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未归属及已归属未行权原则上作废</w:t>
            </w:r>
          </w:p>
        </w:tc>
        <w:tc>
          <w:tcPr>
            <w:tcW w:type="dxa" w:w="16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须有事实、程序和责任认定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6"/>
              </w:rPr>
              <w:t>退休、伤残、死亡</w:t>
            </w:r>
          </w:p>
        </w:tc>
        <w:tc>
          <w:tcPr>
            <w:tcW w:type="dxa" w:w="30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可保留或由本人/继承人选择合规回购</w:t>
            </w:r>
          </w:p>
        </w:tc>
        <w:tc>
          <w:tcPr>
            <w:tcW w:type="dxa" w:w="299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可按规则部分或全部加速归属</w:t>
            </w:r>
          </w:p>
        </w:tc>
        <w:tc>
          <w:tcPr>
            <w:tcW w:type="dxa" w:w="16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由无利益冲突成员专项审议</w:t>
            </w:r>
          </w:p>
        </w:tc>
      </w:tr>
      <w:tr>
        <w:trPr>
          <w:cantSplit w:val="true"/>
        </w:trPr>
        <w:tc>
          <w:tcPr>
            <w:tcW w:type="dxa" w:w="165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6"/>
              </w:rPr>
              <w:t>岗位调整但继续服务</w:t>
            </w:r>
          </w:p>
        </w:tc>
        <w:tc>
          <w:tcPr>
            <w:tcW w:type="dxa" w:w="30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已取得权益不自动倒减</w:t>
            </w:r>
          </w:p>
        </w:tc>
        <w:tc>
          <w:tcPr>
            <w:tcW w:type="dxa" w:w="299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未归属部分按新岗位和原协议衔接</w:t>
            </w:r>
          </w:p>
        </w:tc>
        <w:tc>
          <w:tcPr>
            <w:tcW w:type="dxa" w:w="16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6"/>
              </w:rPr>
              <w:t>同步调整席位、权限、薪酬及未来授予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7DBE2"/>
          <w:left w:val="single" w:sz="4" w:space="0" w:color="D7DBE2"/>
          <w:bottom w:val="single" w:sz="4" w:space="0" w:color="D7DBE2"/>
          <w:right w:val="single" w:sz="4" w:space="0" w:color="D7DBE2"/>
          <w:insideH w:val="single" w:sz="4" w:space="0" w:color="D7DBE2"/>
          <w:insideV w:val="single" w:sz="4" w:space="0" w:color="D7DBE2"/>
        </w:tblBorders>
      </w:tblPr>
      <w:tblGrid>
        <w:gridCol w:w="9360"/>
      </w:tblGrid>
      <w:tr>
        <w:trPr>
          <w:tblHeader w:val="true"/>
          <w:cantSplit w:val="true"/>
        </w:trPr>
        <w:tc>
          <w:tcPr>
            <w:tcW w:type="dxa" w:w="9360"/>
            <w:tcMar>
              <w:top w:w="140" w:type="dxa"/>
              <w:start w:w="120" w:type="dxa"/>
              <w:bottom w:w="140" w:type="dxa"/>
              <w:end w:w="120" w:type="dxa"/>
            </w:tcMar>
            <w:shd w:fill="FFF4CE"/>
          </w:tcPr>
          <w:p>
            <w:pPr>
              <w:spacing w:after="0" w:line="264" w:lineRule="auto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7A5A00"/>
                <w:sz w:val="21"/>
              </w:rPr>
              <w:t xml:space="preserve">回购边界　</w:t>
            </w: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21"/>
              </w:rPr>
              <w:t>任何回购义务必须由有合法能力的主体承担，并受公司偿付能力、资本维持、税务、外汇及当地劳动法限制。不得在集团框架文件中作无条件保本或固定收益承诺。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Arial" w:hAnsi="Arial" w:cs="Arial" w:eastAsia="Heiti SC"/>
        </w:rPr>
        <w:t>十二、定价、融资、税务与会计边界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股份来源：老股认购的对手方原则上为创始人或其指定持股平台；期权行权的对手方可为公司或持股平台，须在法律文件中明确。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低行权价：0.0001美元/股属于会议提出的优先方案；如低于适用法下的最低合法价格或产生不可接受的税务/会计后果，应自动调整为有权机构批准的最低合法价格。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估值：融资前应建立独立、可复核的公允价值依据。409A仅在适用美国税务情形下使用，不应机械替代开曼、BVI及员工税务居民地所需估值。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离岸签约：CFO应牵头形成开曼/BVI/属地雇佣、顾问或服务协议矩阵；不得仅以“减少境内关联”为目的忽略员工实际工作地的强制法律。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会计：认购折扣、低价期权、加速归属及回购安排可能形成股份支付费用或其他会计影响，应在授予前测算并入账。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税务：员工承担其个人税务申报义务；集团提供必要资料并依法代扣代缴，但不得向个人保证税后收益。</w:t>
      </w:r>
    </w:p>
    <w:p>
      <w:pPr>
        <w:pStyle w:val="Heading1"/>
        <w:keepNext/>
      </w:pPr>
      <w:r>
        <w:rPr>
          <w:rFonts w:ascii="Arial" w:hAnsi="Arial" w:cs="Arial" w:eastAsia="Heiti SC"/>
        </w:rPr>
        <w:t>十三、治理、台账与利益冲突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1.  股东层批准30%总池、股份来源、两个BVI平台安排和低价期权法律路径。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2.  合伙人委员会每年批准公司绩效门槛、各子池年度预算、核心人员授予和特殊退出处理。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3.  薪酬/激励评审由财务、人力、经营管理部及无利益冲突成员参加；本人及关联方回避。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4.  股权激励管理办公室挂靠CFO办公室，维护唯一台账：批准数、授予数、归属数、行权数、回购数、失效数和剩余池。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5.  所有个人文件至少包括岗位、薪资、绩效、授予数量、行权价、归属、离任、税费、保密、竞业和争议解决条款。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6.  任何口头沟通、谈话网页或本方案测算均不替代董事会/股东决议及个人授予协议。</w:t>
      </w:r>
    </w:p>
    <w:p>
      <w:pPr>
        <w:pStyle w:val="Heading1"/>
        <w:keepNext/>
      </w:pPr>
      <w:r>
        <w:rPr>
          <w:rFonts w:ascii="Arial" w:hAnsi="Arial" w:cs="Arial" w:eastAsia="Heiti SC"/>
        </w:rPr>
        <w:t>十四、实施路线图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600"/>
        <w:gridCol w:w="1900"/>
        <w:gridCol w:w="3760"/>
        <w:gridCol w:w="2100"/>
      </w:tblGrid>
      <w:tr>
        <w:trPr>
          <w:tblHeader w:val="true"/>
          <w:cantSplit w:val="true"/>
        </w:trPr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阶段</w:t>
            </w:r>
          </w:p>
        </w:tc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时间</w:t>
            </w:r>
          </w:p>
        </w:tc>
        <w:tc>
          <w:tcPr>
            <w:tcW w:type="dxa" w:w="37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主要交付</w:t>
            </w:r>
          </w:p>
        </w:tc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责任</w:t>
            </w:r>
          </w:p>
        </w:tc>
      </w:tr>
      <w:tr>
        <w:trPr>
          <w:cantSplit w:val="true"/>
        </w:trPr>
        <w:tc>
          <w:tcPr>
            <w:tcW w:type="dxa" w:w="16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股本与载体确认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批准后10个工作日内</w:t>
            </w:r>
          </w:p>
        </w:tc>
        <w:tc>
          <w:tcPr>
            <w:tcW w:type="dxa" w:w="37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开曼章程/股东名册核对、两个BVI平台权属、150,000,000股来源及可用性</w:t>
            </w:r>
          </w:p>
        </w:tc>
        <w:tc>
          <w:tcPr>
            <w:tcW w:type="dxa" w:w="21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CFO＋开曼/BVI律师</w:t>
            </w:r>
          </w:p>
        </w:tc>
      </w:tr>
      <w:tr>
        <w:trPr>
          <w:cantSplit w:val="true"/>
        </w:trPr>
        <w:tc>
          <w:tcPr>
            <w:tcW w:type="dxa" w:w="16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制度与估值确认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批准后20个工作日内</w:t>
            </w:r>
          </w:p>
        </w:tc>
        <w:tc>
          <w:tcPr>
            <w:tcW w:type="dxa" w:w="37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计划规则、估值意见、税务/会计备忘、回购及签约主体矩阵</w:t>
            </w:r>
          </w:p>
        </w:tc>
        <w:tc>
          <w:tcPr>
            <w:tcW w:type="dxa" w:w="21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CFO＋外部顾问＋人力</w:t>
            </w:r>
          </w:p>
        </w:tc>
      </w:tr>
      <w:tr>
        <w:trPr>
          <w:cantSplit w:val="true"/>
        </w:trPr>
        <w:tc>
          <w:tcPr>
            <w:tcW w:type="dxa" w:w="1600"/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核心合伙人个人文件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批准后30个工作日内</w:t>
            </w:r>
          </w:p>
        </w:tc>
        <w:tc>
          <w:tcPr>
            <w:tcW w:type="dxa" w:w="3760"/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Kael任职/服务协议、薪资确认、年度目标及第一批授予文件；Joy、Rio、Julio依6%分配表逐一完成岗位目标和授予文件</w:t>
            </w:r>
          </w:p>
        </w:tc>
        <w:tc>
          <w:tcPr>
            <w:tcW w:type="dxa" w:w="2100"/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合伙人委员会＋CFO办公室＋人力</w:t>
            </w:r>
          </w:p>
        </w:tc>
      </w:tr>
      <w:tr>
        <w:trPr>
          <w:cantSplit w:val="true"/>
        </w:trPr>
        <w:tc>
          <w:tcPr>
            <w:tcW w:type="dxa" w:w="16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老员工盘点</w:t>
            </w:r>
          </w:p>
        </w:tc>
        <w:tc>
          <w:tcPr>
            <w:tcW w:type="dxa" w:w="1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批准后45个工作日内</w:t>
            </w:r>
          </w:p>
        </w:tc>
        <w:tc>
          <w:tcPr>
            <w:tcW w:type="dxa" w:w="37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历史贡献名单、入职批次、认购价格、个人上限及风险揭示</w:t>
            </w:r>
          </w:p>
        </w:tc>
        <w:tc>
          <w:tcPr>
            <w:tcW w:type="dxa" w:w="21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经营管理部＋人力＋财务</w:t>
            </w:r>
          </w:p>
        </w:tc>
      </w:tr>
      <w:tr>
        <w:trPr>
          <w:cantSplit w:val="true"/>
        </w:trPr>
        <w:tc>
          <w:tcPr>
            <w:tcW w:type="dxa" w:w="16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首轮窗口</w:t>
            </w:r>
          </w:p>
        </w:tc>
        <w:tc>
          <w:tcPr>
            <w:tcW w:type="dxa" w:w="1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批准后60个工作日内</w:t>
            </w:r>
          </w:p>
        </w:tc>
        <w:tc>
          <w:tcPr>
            <w:tcW w:type="dxa" w:w="37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个人通知、认购签署、出资安排、配套期权及台账登记</w:t>
            </w:r>
          </w:p>
        </w:tc>
        <w:tc>
          <w:tcPr>
            <w:tcW w:type="dxa" w:w="21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股权激励管理办公室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Arial" w:hAnsi="Arial" w:cs="Arial" w:eastAsia="Heiti SC"/>
        </w:rPr>
        <w:t>十五、呈批事项</w:t>
      </w: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请有权机构对以下事项逐项批准、调整或退回补充：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1.  是否确认500,000,000股为本方案统一完全摊薄测算基准，并授权CFO核验授权股本、已发行股本和预留股本的一致性。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2.  是否确认30%（150,000,000股）为长期激励储备上限，并以10%首阶段6:3:1框架先行规划。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3.  是否确认合伙人不再设置现金优先/期权优先二选一，统一采用岗位现金薪酬＋季度绩效＋年度滚动期权。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4.  是否原则同意低价期权行权价采用每股0.0001美元；如专业意见认为不可行，是否授权调整为最低合法价格。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5.  是否确认四名现任核心合伙人以每人1.20%为统一岗位基础目标，并按Joy 0.40%、Kael 0.30%、Rio 0.30%、Julio 0.20%增加岗位份额，两年目标合计6.00%（30,000,000股）。</w:t>
      </w:r>
    </w:p>
    <w:p>
      <w:pPr/>
      <w:r>
        <w:rPr>
          <w:rFonts w:ascii="Times New Roman" w:hAnsi="Times New Roman" w:cs="Times New Roman" w:eastAsia="STFangsong"/>
          <w:b w:val="0"/>
          <w:color w:val="222222"/>
          <w:sz w:val="22"/>
        </w:rPr>
        <w:t>6.  是否确认Kael两年目标1.50%（7,500,000股）、年度目标0.75%、年度80%-120%绩效系数及每批三年归属的主案例；超过100%的个人系数须受6%子池可用额度约束。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7.  是否批准老员工按加入阶段设置历史贡献认购批次，并允许符合条件者参与后续年度认购及50%配套期权。</w:t>
      </w:r>
    </w:p>
    <w:p>
      <w:pPr>
        <w:spacing w:after="160" w:line="280" w:lineRule="auto"/>
        <w:ind w:left="720" w:hanging="360"/>
      </w:pPr>
      <w:r>
        <w:rPr>
          <w:rFonts w:ascii="Times New Roman" w:hAnsi="Times New Roman" w:cs="Times New Roman" w:eastAsia="STFangsong"/>
          <w:b w:val="0"/>
          <w:color w:val="222222"/>
          <w:sz w:val="22"/>
        </w:rPr>
        <w:t>8.  是否批准员工借款和奖金转股机制进入法律、税务及资金可行性论证。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200"/>
        <w:gridCol w:w="4260"/>
        <w:gridCol w:w="2900"/>
      </w:tblGrid>
      <w:tr>
        <w:trPr>
          <w:tblHeader w:val="true"/>
          <w:cantSplit w:val="true"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审批主体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意见</w:t>
            </w:r>
          </w:p>
        </w:tc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签字/日期</w:t>
            </w:r>
          </w:p>
        </w:tc>
      </w:tr>
      <w:tr>
        <w:trPr>
          <w:cantSplit w:val="true"/>
        </w:trPr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联席首席执行官</w:t>
            </w:r>
          </w:p>
        </w:tc>
        <w:tc>
          <w:tcPr>
            <w:tcW w:type="dxa" w:w="4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□同意　□修改后同意　□退回补充</w:t>
            </w:r>
          </w:p>
        </w:tc>
        <w:tc>
          <w:tcPr>
            <w:tcW w:type="dxa" w:w="2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 xml:space="preserve">　　　　　　　　　　　　</w:t>
            </w:r>
          </w:p>
        </w:tc>
      </w:tr>
      <w:tr>
        <w:trPr>
          <w:cantSplit w:val="true"/>
        </w:trPr>
        <w:tc>
          <w:tcPr>
            <w:tcW w:type="dxa" w:w="22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合伙人委员会</w:t>
            </w:r>
          </w:p>
        </w:tc>
        <w:tc>
          <w:tcPr>
            <w:tcW w:type="dxa" w:w="426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□通过　□附条件通过　□不通过</w:t>
            </w:r>
          </w:p>
        </w:tc>
        <w:tc>
          <w:tcPr>
            <w:tcW w:type="dxa" w:w="2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 xml:space="preserve">　　　　　　　　　　　　</w:t>
            </w:r>
          </w:p>
        </w:tc>
      </w:tr>
      <w:tr>
        <w:trPr>
          <w:cantSplit w:val="true"/>
        </w:trPr>
        <w:tc>
          <w:tcPr>
            <w:tcW w:type="dxa" w:w="22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董事会/股东层</w:t>
            </w:r>
          </w:p>
        </w:tc>
        <w:tc>
          <w:tcPr>
            <w:tcW w:type="dxa" w:w="426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□批准总池及股份来源　□需法律意见后再议</w:t>
            </w:r>
          </w:p>
        </w:tc>
        <w:tc>
          <w:tcPr>
            <w:tcW w:type="dxa" w:w="2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 xml:space="preserve">　　　　　　　　　　　　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rPr>
          <w:rFonts w:ascii="Arial" w:hAnsi="Arial" w:cs="Arial" w:eastAsia="Heiti SC"/>
        </w:rPr>
        <w:t>附录A：Kael目标额度计算说明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2500"/>
        <w:gridCol w:w="3900"/>
        <w:gridCol w:w="2960"/>
      </w:tblGrid>
      <w:tr>
        <w:trPr>
          <w:tblHeader w:val="true"/>
          <w:cantSplit w:val="true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计算项</w:t>
            </w:r>
          </w:p>
        </w:tc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公式</w:t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8"/>
              </w:rPr>
              <w:t>结果</w:t>
            </w:r>
          </w:p>
        </w:tc>
      </w:tr>
      <w:tr>
        <w:trPr>
          <w:cantSplit w:val="true"/>
        </w:trPr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目标期权数量</w:t>
            </w:r>
          </w:p>
        </w:tc>
        <w:tc>
          <w:tcPr>
            <w:tcW w:type="dxa" w:w="3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500,000,000 × 1.50%</w:t>
            </w:r>
          </w:p>
        </w:tc>
        <w:tc>
          <w:tcPr>
            <w:tcW w:type="dxa" w:w="296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7,500,000股</w:t>
            </w:r>
          </w:p>
        </w:tc>
      </w:tr>
      <w:tr>
        <w:trPr>
          <w:cantSplit w:val="true"/>
        </w:trPr>
        <w:tc>
          <w:tcPr>
            <w:tcW w:type="dxa" w:w="25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按面值行权成本</w:t>
            </w:r>
          </w:p>
        </w:tc>
        <w:tc>
          <w:tcPr>
            <w:tcW w:type="dxa" w:w="3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7,500,000 × 0.0001美元</w:t>
            </w:r>
          </w:p>
        </w:tc>
        <w:tc>
          <w:tcPr>
            <w:tcW w:type="dxa" w:w="296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750美元</w:t>
            </w:r>
          </w:p>
        </w:tc>
      </w:tr>
      <w:tr>
        <w:trPr>
          <w:cantSplit w:val="true"/>
        </w:trPr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三轮10%稀释后比例</w:t>
            </w:r>
          </w:p>
        </w:tc>
        <w:tc>
          <w:tcPr>
            <w:tcW w:type="dxa" w:w="3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1.50% × 90% × 90% × 90%</w:t>
            </w:r>
          </w:p>
        </w:tc>
        <w:tc>
          <w:tcPr>
            <w:tcW w:type="dxa" w:w="296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1.0935%</w:t>
            </w:r>
          </w:p>
        </w:tc>
      </w:tr>
      <w:tr>
        <w:trPr>
          <w:cantSplit w:val="true"/>
        </w:trPr>
        <w:tc>
          <w:tcPr>
            <w:tcW w:type="dxa" w:w="25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10亿美元估值下毛值</w:t>
            </w:r>
          </w:p>
        </w:tc>
        <w:tc>
          <w:tcPr>
            <w:tcW w:type="dxa" w:w="3900"/>
            <w:vAlign w:val="center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1,000,000,000 × 1.0935%</w:t>
            </w:r>
          </w:p>
        </w:tc>
        <w:tc>
          <w:tcPr>
            <w:tcW w:type="dxa" w:w="2960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10,935,000美元</w:t>
            </w:r>
          </w:p>
        </w:tc>
      </w:tr>
      <w:tr>
        <w:trPr>
          <w:cantSplit w:val="true"/>
        </w:trPr>
        <w:tc>
          <w:tcPr>
            <w:tcW w:type="dxa" w:w="25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8"/>
              </w:rPr>
              <w:t>50,000,000美元内部估值下未稀释毛值</w:t>
            </w:r>
          </w:p>
        </w:tc>
        <w:tc>
          <w:tcPr>
            <w:tcW w:type="dxa" w:w="3900"/>
            <w:vAlign w:val="center"/>
            <w:shd w:fill="FFFFFF"/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50,000,000 × 1.50%</w:t>
            </w:r>
          </w:p>
        </w:tc>
        <w:tc>
          <w:tcPr>
            <w:tcW w:type="dxa" w:w="2960"/>
            <w:vAlign w:val="center"/>
            <w:shd w:fill="FFFFFF"/>
          </w:tcPr>
          <w:p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8"/>
              </w:rPr>
              <w:t>750,000美元</w:t>
            </w:r>
          </w:p>
        </w:tc>
      </w:tr>
    </w:tbl>
    <w:p>
      <w:pPr>
        <w:spacing w:after="40"/>
      </w:pPr>
    </w:p>
    <w:p>
      <w:pPr>
        <w:spacing w:before="0" w:after="120" w:line="264" w:lineRule="auto"/>
      </w:pPr>
      <w:r>
        <w:rPr>
          <w:rFonts w:ascii="Times New Roman" w:hAnsi="Times New Roman" w:eastAsia="STFangsong" w:cs="Times New Roman"/>
          <w:b w:val="0"/>
          <w:i/>
          <w:color w:val="9B1C1C"/>
          <w:sz w:val="22"/>
        </w:rPr>
        <w:t>上述计算均为内部方案测算，不考虑行权成本以外的税费、股份支付费用、融资条款、优先权、清算顺位、流动性折价及实际可出售时间，不构成收益保证。</w:t>
      </w:r>
    </w:p>
    <w:p>
      <w:pPr>
        <w:pStyle w:val="Heading1"/>
        <w:keepNext/>
        <w:pageBreakBefore/>
      </w:pPr>
      <w:r>
        <w:rPr>
          <w:rFonts w:ascii="Arial" w:hAnsi="Arial" w:cs="Arial" w:eastAsia="Heiti SC"/>
        </w:rPr>
        <w:t>附录B：本次修订相对V4.0的主要变化</w:t>
      </w:r>
    </w:p>
    <w:tbl>
      <w:tblPr>
        <w:tblStyle w:val="TableGrid"/>
        <w:tblW w:type="dxa" w:w="9026"/>
        <w:tblLayout w:type="fixed"/>
        <w:tblLook w:firstColumn="1" w:firstRow="1" w:lastColumn="0" w:lastRow="0" w:noHBand="0" w:noVBand="1" w:val="04A0"/>
        <w:jc w:val="left"/>
        <w:tblInd w:w="0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</w:tblPr>
      <w:tblGrid>
        <w:gridCol w:w="1825"/>
        <w:gridCol w:w="3300"/>
        <w:gridCol w:w="3901"/>
      </w:tblGrid>
      <w:tr>
        <w:trPr>
          <w:tblHeader w:val="true"/>
          <w:cantSplit w:val="true"/>
        </w:trPr>
        <w:tc>
          <w:tcPr>
            <w:tcW w:type="dxa" w:w="1825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事项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 w:eastAsia="Heiti SC" w:cs="Arial"/>
                <w:b/>
                <w:i w:val="0"/>
                <w:color w:val="0B2545"/>
                <w:sz w:val="17"/>
              </w:rPr>
              <w:t>V4.0原口径</w:t>
            </w:r>
          </w:p>
        </w:tc>
        <w:tc>
          <w:tcPr>
            <w:tcW w:type="dxa" w:w="3901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V5.1会后深化口径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总池</w:t>
            </w:r>
          </w:p>
        </w:tc>
        <w:tc>
          <w:tcPr>
            <w:tcW w:type="dxa" w:w="3300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BVI存量20%，累计上限25%-30%</w:t>
            </w:r>
          </w:p>
        </w:tc>
        <w:tc>
          <w:tcPr>
            <w:tcW w:type="dxa" w:w="3901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按会议统一为两个BVI合计30%储备上限，具体来源待法律核验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合伙人分配</w:t>
            </w:r>
          </w:p>
        </w:tc>
        <w:tc>
          <w:tcPr>
            <w:tcW w:type="dxa" w:w="3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岗位层级或固定两年比例</w:t>
            </w:r>
          </w:p>
        </w:tc>
        <w:tc>
          <w:tcPr>
            <w:tcW w:type="dxa" w:w="3901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10%首阶段按6:3:1分层；个人按年度滚动授予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合伙人现金方案</w:t>
            </w:r>
          </w:p>
        </w:tc>
        <w:tc>
          <w:tcPr>
            <w:tcW w:type="dxa" w:w="3300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现金优先/期权优先二选一</w:t>
            </w:r>
          </w:p>
        </w:tc>
        <w:tc>
          <w:tcPr>
            <w:tcW w:type="dxa" w:w="3901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取消二选一，统一长期导向；岗位现金单独定档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赠送工具</w:t>
            </w:r>
          </w:p>
        </w:tc>
        <w:tc>
          <w:tcPr>
            <w:tcW w:type="dxa" w:w="3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直接股份或认购配套期权并存</w:t>
            </w:r>
          </w:p>
        </w:tc>
        <w:tc>
          <w:tcPr>
            <w:tcW w:type="dxa" w:w="3901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历史贡献/岗位奖励原则上采用低价期权，避免直接赠股形成退出负债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归属</w:t>
            </w:r>
          </w:p>
        </w:tc>
        <w:tc>
          <w:tcPr>
            <w:tcW w:type="dxa" w:w="3300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两年60:40或四年25%</w:t>
            </w:r>
          </w:p>
        </w:tc>
        <w:tc>
          <w:tcPr>
            <w:tcW w:type="dxa" w:w="3901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合伙人每年一批、每批建议三年归属；员工认购配套期权可保留四年规则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绩效周期</w:t>
            </w:r>
          </w:p>
        </w:tc>
        <w:tc>
          <w:tcPr>
            <w:tcW w:type="dxa" w:w="3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月度绩效年终结算</w:t>
            </w:r>
          </w:p>
        </w:tc>
        <w:tc>
          <w:tcPr>
            <w:tcW w:type="dxa" w:w="3901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30%绩效按季度核定；年度另核定现金与期权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Kael案例</w:t>
            </w:r>
          </w:p>
        </w:tc>
        <w:tc>
          <w:tcPr>
            <w:tcW w:type="dxa" w:w="3300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1.50%为两年固定比例</w:t>
            </w:r>
          </w:p>
        </w:tc>
        <w:tc>
          <w:tcPr>
            <w:tcW w:type="dxa" w:w="3901"/>
            <w:vAlign w:val="center"/>
            <w:shd w:fill="FFFFFF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目标7,500,000股，按年度0.75%目标、80%-120%浮动和三年滚动归属</w:t>
            </w:r>
          </w:p>
        </w:tc>
      </w:tr>
      <w:tr>
        <w:trPr>
          <w:cantSplit w:val="true"/>
        </w:trPr>
        <w:tc>
          <w:tcPr>
            <w:tcW w:type="dxa" w:w="182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/>
                <w:i w:val="0"/>
                <w:color w:val="222222"/>
                <w:sz w:val="17"/>
              </w:rPr>
              <w:t>老员工</w:t>
            </w:r>
          </w:p>
        </w:tc>
        <w:tc>
          <w:tcPr>
            <w:tcW w:type="dxa" w:w="3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第一轮统一历史贡献认购</w:t>
            </w:r>
          </w:p>
        </w:tc>
        <w:tc>
          <w:tcPr>
            <w:tcW w:type="dxa" w:w="3901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Times New Roman" w:hAnsi="Times New Roman" w:eastAsia="STFangsong" w:cs="Times New Roman"/>
                <w:b w:val="0"/>
                <w:i w:val="0"/>
                <w:color w:val="222222"/>
                <w:sz w:val="17"/>
              </w:rPr>
              <w:t>按加入批次、实际贡献和自愿出资分层；奖励期权与认购分开</w:t>
            </w:r>
          </w:p>
        </w:tc>
      </w:tr>
      <w:tr>
        <w:trPr/>
        <w:tc>
          <w:tcPr>
            <w:tcW w:type="dxa" w:w="1825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现任四人6%分配</w:t>
            </w:r>
          </w:p>
        </w:tc>
        <w:tc>
          <w:tcPr>
            <w:tcW w:type="dxa" w:w="3300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只明确现任核心合伙人6%子池及Kael 1.50%主案例</w:t>
            </w:r>
          </w:p>
        </w:tc>
        <w:tc>
          <w:tcPr>
            <w:tcW w:type="dxa" w:w="3901"/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统一基础目标1.20%；Joy 1.60%、Kael 1.50%、Rio 1.50%、Julio 1.40%，合计6.00%；超额系数受子池可用额度约束</w:t>
            </w:r>
          </w:p>
        </w:tc>
      </w:tr>
    </w:tbl>
    <w:p>
      <w:pPr>
        <w:spacing w:after="40"/>
      </w:pPr>
    </w:p>
    <w:p>
      <w:pPr>
        <w:pStyle w:val="Heading1"/>
        <w:keepNext/>
        <w:pageBreakBefore/>
      </w:pPr>
      <w:r>
        <w:rPr>
          <w:rFonts w:ascii="Arial" w:hAnsi="Arial" w:cs="Arial" w:eastAsia="Heiti SC"/>
        </w:rPr>
        <w:t>附录C：待专业顾问确认清单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500,000,000股在开曼注册文件中属于授权、已发行还是完全摊薄口径；两个BVI平台实际持股及控制关系。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以0.0001美元面值作为期权行权价的公司法、税务、会计、融资和未来上市影响。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创始人转让老股、公司增发期权股、BVI权益授予三种路径的对价归属和资金流向。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中国籍及其他国家员工离岸持股、期权行权、股份转让和回购的个人税务与申报。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开曼/BVI实体与员工实际工作地之间的劳动、服务、顾问或EOR签约路径。</w:t>
      </w:r>
    </w:p>
    <w:p>
      <w:pPr>
        <w:pStyle w:val="ListBullet"/>
        <w:spacing w:after="160" w:line="280" w:lineRule="auto"/>
        <w:ind w:left="720" w:hanging="360"/>
      </w:pPr>
      <w:r>
        <w:rPr>
          <w:rFonts w:ascii="Times New Roman" w:hAnsi="Times New Roman" w:eastAsia="STFangsong" w:cs="Times New Roman"/>
          <w:b w:val="0"/>
          <w:i w:val="0"/>
          <w:color w:val="222222"/>
          <w:sz w:val="22"/>
        </w:rPr>
        <w:t>员工借款、工资代扣、股份质押、奖金转股和回购承诺的合法性及会计处理。</w:t>
      </w:r>
    </w:p>
    <w:p>
      <w:pPr>
        <w:pStyle w:val="Heading2"/>
      </w:pPr>
      <w:r>
        <w:rPr>
          <w:rFonts w:ascii="Arial" w:hAnsi="Arial" w:cs="Arial" w:eastAsia="Heiti SC"/>
          <w:b w:val="0"/>
          <w:color w:val="222222"/>
          <w:sz w:val="22"/>
        </w:rPr>
        <w:t>C.1 专业顾问最低交付成果</w:t>
      </w:r>
    </w:p>
    <w:tbl>
      <w:tblPr>
        <w:tblStyle w:val="TableGrid"/>
        <w:tblW w:type="dxa" w:w="9026"/>
        <w:jc w:val="left"/>
        <w:tblLayout w:type="fixed"/>
        <w:tblLook w:firstColumn="1" w:firstRow="1" w:lastColumn="0" w:lastRow="0" w:noHBand="0" w:noVBand="1" w:val="04A0"/>
        <w:tblInd w:type="dxa" w:w="0"/>
      </w:tblPr>
      <w:tblGrid>
        <w:gridCol w:w="1702"/>
        <w:gridCol w:w="5697"/>
        <w:gridCol w:w="1627"/>
      </w:tblGrid>
      <w:tr>
        <w:trPr>
          <w:tblHeader w:val="true"/>
        </w:trPr>
        <w:tc>
          <w:tcPr>
            <w:tcW w:type="dxa" w:w="1702"/>
            <w:vAlign w:val="center"/>
            <w:shd w:fill="F2F4F7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专业领域</w:t>
            </w:r>
          </w:p>
        </w:tc>
        <w:tc>
          <w:tcPr>
            <w:tcW w:type="dxa" w:w="5697"/>
            <w:vAlign w:val="center"/>
            <w:shd w:fill="F2F4F7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最低交付成果</w:t>
            </w:r>
          </w:p>
        </w:tc>
        <w:tc>
          <w:tcPr>
            <w:tcW w:type="dxa" w:w="1627"/>
            <w:vAlign w:val="center"/>
            <w:shd w:fill="F2F4F7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Heiti SC"/>
                <w:b/>
              </w:rPr>
            </w:r>
            <w:r>
              <w:rPr>
                <w:rFonts w:ascii="Arial" w:hAnsi="Arial" w:cs="Arial" w:eastAsia="Heiti SC"/>
                <w:b/>
                <w:color w:val="0B2545"/>
                <w:sz w:val="17"/>
              </w:rPr>
              <w:t>完成节点</w:t>
            </w:r>
          </w:p>
        </w:tc>
      </w:tr>
      <w:tr>
        <w:trPr/>
        <w:tc>
          <w:tcPr>
            <w:tcW w:type="dxa" w:w="1702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公司法与激励文件</w:t>
            </w:r>
          </w:p>
        </w:tc>
        <w:tc>
          <w:tcPr>
            <w:tcW w:type="dxa" w:w="569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核实股本口径、BVI平台持股及控制关系；完成激励计划、授予、归属、行权、离职及回购文件。</w:t>
            </w:r>
          </w:p>
        </w:tc>
        <w:tc>
          <w:tcPr>
            <w:tcW w:type="dxa" w:w="162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实施前</w:t>
            </w:r>
          </w:p>
        </w:tc>
      </w:tr>
      <w:tr>
        <w:trPr/>
        <w:tc>
          <w:tcPr>
            <w:tcW w:type="dxa" w:w="1702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税务与跨境持股</w:t>
            </w:r>
          </w:p>
        </w:tc>
        <w:tc>
          <w:tcPr>
            <w:tcW w:type="dxa" w:w="569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形成各税务居民地的授予、归属、行权、转让及回购税务矩阵和申报路径。</w:t>
            </w:r>
          </w:p>
        </w:tc>
        <w:tc>
          <w:tcPr>
            <w:tcW w:type="dxa" w:w="162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个人协议签署前</w:t>
            </w:r>
          </w:p>
        </w:tc>
      </w:tr>
      <w:tr>
        <w:trPr/>
        <w:tc>
          <w:tcPr>
            <w:tcW w:type="dxa" w:w="1702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估值与会计</w:t>
            </w:r>
          </w:p>
        </w:tc>
        <w:tc>
          <w:tcPr>
            <w:tcW w:type="dxa" w:w="569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确认公允价值依据、行权价可行性、股份支付计量方法及财务报表披露口径。</w:t>
            </w:r>
          </w:p>
        </w:tc>
        <w:tc>
          <w:tcPr>
            <w:tcW w:type="dxa" w:w="162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首批授予前</w:t>
            </w:r>
          </w:p>
        </w:tc>
      </w:tr>
      <w:tr>
        <w:trPr/>
        <w:tc>
          <w:tcPr>
            <w:tcW w:type="dxa" w:w="1702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劳动与服务关系</w:t>
            </w:r>
          </w:p>
        </w:tc>
        <w:tc>
          <w:tcPr>
            <w:tcW w:type="dxa" w:w="569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形成开曼、BVI及实际工作地的劳动、服务、顾问或EOR签约矩阵，明确数据、外汇及付款边界。</w:t>
            </w:r>
          </w:p>
        </w:tc>
        <w:tc>
          <w:tcPr>
            <w:tcW w:type="dxa" w:w="1627"/>
            <w:vAlign w:val="center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cs="Times New Roman" w:eastAsia="STFangsong"/>
              </w:rPr>
            </w:r>
            <w:r>
              <w:rPr>
                <w:rFonts w:ascii="Times New Roman" w:hAnsi="Times New Roman" w:cs="Times New Roman" w:eastAsia="STFangsong"/>
                <w:b w:val="0"/>
                <w:color w:val="222222"/>
                <w:sz w:val="17"/>
              </w:rPr>
              <w:t>个人协议签署前</w:t>
            </w:r>
          </w:p>
        </w:tc>
      </w:tr>
    </w:tbl>
    <w:p>
      <w:pPr>
        <w:spacing w:before="0" w:after="0" w:line="264" w:lineRule="auto"/>
        <w:jc w:val="center"/>
      </w:pPr>
      <w:r>
        <w:rPr>
          <w:rFonts w:ascii="Times New Roman" w:hAnsi="Times New Roman" w:eastAsia="STFangsong" w:cs="Times New Roman"/>
          <w:b w:val="0"/>
          <w:i w:val="0"/>
          <w:color w:val="687386"/>
          <w:sz w:val="22"/>
        </w:rPr>
        <w:t>— 全文完 —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left"/>
    </w:pPr>
    <w:r>
      <w:rPr>
        <w:rFonts w:ascii="Times New Roman" w:hAnsi="Times New Roman" w:cs="Times New Roman" w:eastAsia="Songti SC"/>
        <w:b w:val="0"/>
        <w:color w:val="666666"/>
        <w:sz w:val="17"/>
      </w:rPr>
      <w:t>ADG-PAY-ESOP-20260909-V5.1  ·  内部机密  ·  经批准后生效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Times New Roman" w:hAnsi="Times New Roman" w:eastAsia="Songti SC" w:cs="Times New Roman"/>
        <w:b/>
        <w:i w:val="0"/>
        <w:color w:val="687386"/>
        <w:sz w:val="17"/>
      </w:rPr>
      <w:t>AIDEEGROUP LIMITED  |  集团内部治理文件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Times New Roman" w:hAnsi="Times New Roman" w:eastAsia="STFangsong" w:cs="Times New Roman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eastAsia="Heiti SC" w:cs="Arial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Heiti SC" w:cs="Arial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微软雅黑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Times New Roman" w:hAnsi="Times New Roman" w:eastAsia="STFangsong" w:cs="Times New Roman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 w:eastAsia="微软雅黑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集团薪资、股权与期权激励方案 V5.1 会后深化呈批稿</dc:title>
  <dc:subject>2026年9月8日集团薪资股权期权激励方案讨论会会后深化</dc:subject>
  <dc:creator>AiDeeGroup Limited</dc:creator>
  <cp:keywords>薪资, 股权, 期权, ESOP, Kael, 合伙人</cp:keywords>
  <dc:description>依据Kael谈话文件、V4.0原方案及2026-09-08会议内容编制。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